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4E8C" w14:textId="63C69A2C" w:rsidR="00A0324B" w:rsidRDefault="00144BB5" w:rsidP="00144BB5">
      <w:pPr>
        <w:pStyle w:val="HeadingLevel2"/>
        <w:jc w:val="center"/>
      </w:pPr>
      <w:r>
        <w:t>Wild Daisies</w:t>
      </w:r>
    </w:p>
    <w:p w14:paraId="30F9A372" w14:textId="1CC1F3B1" w:rsidR="00144BB5" w:rsidRPr="00144BB5" w:rsidRDefault="00144BB5" w:rsidP="00144BB5">
      <w:pPr>
        <w:pStyle w:val="HeadingLevel2"/>
        <w:jc w:val="center"/>
      </w:pPr>
      <w:r>
        <w:t>Privacy Policy</w:t>
      </w:r>
    </w:p>
    <w:p w14:paraId="77D94EA2" w14:textId="317E15DF" w:rsidR="00A0324B" w:rsidRPr="001D03AE" w:rsidRDefault="00A0324B" w:rsidP="00E62330">
      <w:pPr>
        <w:pStyle w:val="NoNumUntitledClause"/>
        <w:ind w:left="0"/>
      </w:pPr>
      <w:bookmarkStart w:id="0" w:name="a769702"/>
      <w:r>
        <w:t xml:space="preserve">This privacy policy gives you information about how </w:t>
      </w:r>
      <w:r w:rsidR="00F15187">
        <w:t>Wild Daisies</w:t>
      </w:r>
      <w:r>
        <w:t xml:space="preserve"> collects and uses your personal data through your use of this website, including any data you may provide</w:t>
      </w:r>
      <w:r w:rsidR="00F15187">
        <w:t xml:space="preserve">.  </w:t>
      </w:r>
      <w:bookmarkEnd w:id="0"/>
    </w:p>
    <w:p w14:paraId="77D94EA4" w14:textId="77777777" w:rsidR="00A0324B" w:rsidRPr="001D03AE" w:rsidRDefault="00A0324B" w:rsidP="00E62330">
      <w:pPr>
        <w:pStyle w:val="NoNumTitle-Clause"/>
        <w:ind w:left="0"/>
      </w:pPr>
      <w:bookmarkStart w:id="1" w:name="a985786"/>
      <w:r>
        <w:t>Controller</w:t>
      </w:r>
      <w:bookmarkEnd w:id="1"/>
    </w:p>
    <w:p w14:paraId="77D94EA5" w14:textId="2328D5AD" w:rsidR="00A0324B" w:rsidRPr="001D03AE" w:rsidRDefault="00F15187" w:rsidP="00E62330">
      <w:pPr>
        <w:pStyle w:val="NoNumUntitledClause"/>
        <w:ind w:left="0"/>
      </w:pPr>
      <w:bookmarkStart w:id="2" w:name="a382234"/>
      <w:r>
        <w:t>Kelly Farrer (trading as Wild Daisies)</w:t>
      </w:r>
      <w:r w:rsidR="00A0324B">
        <w:t xml:space="preserve"> is</w:t>
      </w:r>
      <w:r w:rsidR="000437C6">
        <w:t xml:space="preserve"> </w:t>
      </w:r>
      <w:r w:rsidR="00A0324B">
        <w:t>the controller and responsible for your personal data (collectively referred to as "we", "us" or "our" in this privacy polic</w:t>
      </w:r>
      <w:r>
        <w:t>y</w:t>
      </w:r>
      <w:r w:rsidR="00A0324B">
        <w:t>).</w:t>
      </w:r>
      <w:bookmarkEnd w:id="2"/>
    </w:p>
    <w:p w14:paraId="77D94EA7" w14:textId="5A0EAFFE" w:rsidR="00A0324B" w:rsidRPr="001D03AE" w:rsidRDefault="00A0324B" w:rsidP="00E62330">
      <w:pPr>
        <w:pStyle w:val="NoNumUntitledClause"/>
        <w:ind w:left="0"/>
      </w:pPr>
      <w:bookmarkStart w:id="3" w:name="a540866"/>
      <w:r>
        <w:t>If you have any questions about this privacy policy, including any requests to exercise your legal rights, please contact u</w:t>
      </w:r>
      <w:r w:rsidR="00F15187">
        <w:t>s</w:t>
      </w:r>
      <w:r>
        <w:t xml:space="preserve"> using the information set out in the contact details section below. </w:t>
      </w:r>
      <w:bookmarkEnd w:id="3"/>
    </w:p>
    <w:p w14:paraId="77D94EA8" w14:textId="77777777" w:rsidR="00A0324B" w:rsidRDefault="00A0324B" w:rsidP="00E62330">
      <w:pPr>
        <w:pStyle w:val="TitleClause"/>
      </w:pPr>
      <w:r>
        <w:fldChar w:fldCharType="begin"/>
      </w:r>
      <w:r>
        <w:instrText>TC "2. The types of personal data we collect about you" \l 1</w:instrText>
      </w:r>
      <w:r>
        <w:fldChar w:fldCharType="end"/>
      </w:r>
      <w:bookmarkStart w:id="4" w:name="_Toc256000001"/>
      <w:bookmarkStart w:id="5" w:name="a480831"/>
      <w:r>
        <w:t>The types of personal data we collect about you</w:t>
      </w:r>
      <w:bookmarkEnd w:id="4"/>
      <w:bookmarkEnd w:id="5"/>
    </w:p>
    <w:p w14:paraId="77D94EA9" w14:textId="77777777" w:rsidR="00A0324B" w:rsidRDefault="00A0324B" w:rsidP="00E62330">
      <w:pPr>
        <w:pStyle w:val="NoNumUntitledClause"/>
        <w:ind w:left="0"/>
      </w:pPr>
      <w:bookmarkStart w:id="6" w:name="a738838"/>
      <w:r>
        <w:t xml:space="preserve">Personal data means any information about an individual from which that person can be identified. </w:t>
      </w:r>
      <w:bookmarkEnd w:id="6"/>
    </w:p>
    <w:p w14:paraId="77D94EAA" w14:textId="77777777" w:rsidR="00A0324B" w:rsidRDefault="00A0324B" w:rsidP="00E62330">
      <w:pPr>
        <w:pStyle w:val="NoNumUntitledClause"/>
        <w:ind w:left="0"/>
      </w:pPr>
      <w:bookmarkStart w:id="7" w:name="a562087"/>
      <w:r>
        <w:t>We may collect, use, store and transfer different kinds of personal data about you which we have grouped together as follows:</w:t>
      </w:r>
      <w:bookmarkEnd w:id="7"/>
    </w:p>
    <w:p w14:paraId="77D94EAB" w14:textId="636AC637" w:rsidR="00A0324B" w:rsidRPr="006A0A26" w:rsidRDefault="00A0324B" w:rsidP="00E62330">
      <w:pPr>
        <w:pStyle w:val="subclause1Bullet1"/>
      </w:pPr>
      <w:r>
        <w:rPr>
          <w:rStyle w:val="DefTerm"/>
        </w:rPr>
        <w:t>Identity Data</w:t>
      </w:r>
      <w:r>
        <w:t xml:space="preserve"> includes first name, last name, any previous names, username or similar identifier, marital status, title, date of birth and gender.</w:t>
      </w:r>
    </w:p>
    <w:p w14:paraId="77D94EAC" w14:textId="0D268F1B" w:rsidR="00A0324B" w:rsidRPr="006A0A26" w:rsidRDefault="00A0324B" w:rsidP="00E62330">
      <w:pPr>
        <w:pStyle w:val="subclause1Bullet1"/>
      </w:pPr>
      <w:r>
        <w:rPr>
          <w:rStyle w:val="DefTerm"/>
        </w:rPr>
        <w:t>Contact Data</w:t>
      </w:r>
      <w:r>
        <w:t xml:space="preserve"> includes billing address, </w:t>
      </w:r>
      <w:r w:rsidR="00F15187">
        <w:t>residential</w:t>
      </w:r>
      <w:r>
        <w:t xml:space="preserve"> address, email address and telephone numbers.</w:t>
      </w:r>
    </w:p>
    <w:p w14:paraId="77D94EAD" w14:textId="2B4302F5" w:rsidR="00A0324B" w:rsidRPr="006A0A26" w:rsidRDefault="00A0324B" w:rsidP="00E62330">
      <w:pPr>
        <w:pStyle w:val="subclause1Bullet1"/>
      </w:pPr>
      <w:r>
        <w:rPr>
          <w:rStyle w:val="DefTerm"/>
        </w:rPr>
        <w:t>Financial Data</w:t>
      </w:r>
      <w:r>
        <w:t xml:space="preserve"> includes bank account and</w:t>
      </w:r>
      <w:r w:rsidR="00F15187">
        <w:t>/or</w:t>
      </w:r>
      <w:r>
        <w:t xml:space="preserve"> payment card details.</w:t>
      </w:r>
    </w:p>
    <w:p w14:paraId="77D94EAE" w14:textId="4274B6DF" w:rsidR="00A0324B" w:rsidRPr="006A0A26" w:rsidRDefault="00A0324B" w:rsidP="00E62330">
      <w:pPr>
        <w:pStyle w:val="subclause1Bullet1"/>
      </w:pPr>
      <w:r>
        <w:rPr>
          <w:rStyle w:val="DefTerm"/>
        </w:rPr>
        <w:t>Transaction Data</w:t>
      </w:r>
      <w:r>
        <w:t xml:space="preserve"> includes details about payments to and from you and other details of products and services you have purchased from us.</w:t>
      </w:r>
    </w:p>
    <w:p w14:paraId="77D94EAF" w14:textId="782F783B" w:rsidR="00A0324B" w:rsidRPr="006A0A26" w:rsidRDefault="00A0324B" w:rsidP="00E62330">
      <w:pPr>
        <w:pStyle w:val="subclause1Bullet1"/>
      </w:pPr>
      <w:r>
        <w:rPr>
          <w:rStyle w:val="DefTerm"/>
        </w:rPr>
        <w:t>Technical Data</w:t>
      </w:r>
      <w:r>
        <w:t xml:space="preserve"> includes internet protocol (IP) address, your login data, browser type and version, time zone setting and location, browser plug-in types and versions, operating system and platform, device ID and other technology on the devices you use to access this website. </w:t>
      </w:r>
    </w:p>
    <w:p w14:paraId="77D94EB0" w14:textId="07EAEDD6" w:rsidR="00A0324B" w:rsidRPr="006A0A26" w:rsidRDefault="00A0324B" w:rsidP="00E62330">
      <w:pPr>
        <w:pStyle w:val="subclause1Bullet1"/>
      </w:pPr>
      <w:r>
        <w:rPr>
          <w:rStyle w:val="DefTerm"/>
        </w:rPr>
        <w:t>Profile Data</w:t>
      </w:r>
      <w:r>
        <w:rPr>
          <w:b/>
          <w:bCs/>
        </w:rPr>
        <w:t xml:space="preserve"> </w:t>
      </w:r>
      <w:r>
        <w:t>includes</w:t>
      </w:r>
      <w:r>
        <w:rPr>
          <w:bCs/>
        </w:rPr>
        <w:t xml:space="preserve"> </w:t>
      </w:r>
      <w:r w:rsidR="00111D74">
        <w:rPr>
          <w:bCs/>
        </w:rPr>
        <w:t>any data that you provide to us in connection with your use of our website</w:t>
      </w:r>
      <w:r>
        <w:t xml:space="preserve">.  </w:t>
      </w:r>
    </w:p>
    <w:p w14:paraId="77D94EB1" w14:textId="1E00799E" w:rsidR="00A0324B" w:rsidRPr="006A0A26" w:rsidRDefault="00A0324B" w:rsidP="00E62330">
      <w:pPr>
        <w:pStyle w:val="subclause1Bullet1"/>
      </w:pPr>
      <w:r>
        <w:rPr>
          <w:rStyle w:val="DefTerm"/>
        </w:rPr>
        <w:t>Usage Data</w:t>
      </w:r>
      <w:r>
        <w:t xml:space="preserve"> includes information about how you interact with and use our website, products and services. </w:t>
      </w:r>
    </w:p>
    <w:p w14:paraId="77D94EB2" w14:textId="0EBAA8A2" w:rsidR="00A0324B" w:rsidRPr="006A0A26" w:rsidRDefault="00A0324B" w:rsidP="00E62330">
      <w:pPr>
        <w:pStyle w:val="subclause1Bullet1"/>
      </w:pPr>
      <w:r>
        <w:rPr>
          <w:rStyle w:val="DefTerm"/>
        </w:rPr>
        <w:t>Marketing and Communications Data</w:t>
      </w:r>
      <w:r>
        <w:rPr>
          <w:b/>
          <w:bCs/>
        </w:rPr>
        <w:t xml:space="preserve"> </w:t>
      </w:r>
      <w:r>
        <w:t>includes your preferences in receiving marketing from us and our third parties and your communication preferences.</w:t>
      </w:r>
    </w:p>
    <w:p w14:paraId="77D94EB3" w14:textId="77777777" w:rsidR="00A0324B" w:rsidRPr="006A0A26" w:rsidRDefault="00A0324B" w:rsidP="00E62330">
      <w:pPr>
        <w:pStyle w:val="ParaClause"/>
        <w:ind w:left="0"/>
      </w:pPr>
      <w:r>
        <w:t>We also collect, use and share a</w:t>
      </w:r>
      <w:r>
        <w:rPr>
          <w:rStyle w:val="DefTerm"/>
          <w:b w:val="0"/>
          <w:bCs/>
        </w:rPr>
        <w:t>ggregated data</w:t>
      </w:r>
      <w:r>
        <w:t xml:space="preserve"> such as statistical or demographic data which is not personal data as it does not directly (or indirectly) reveal your identity. For example, we may aggregate individuals' Usage Data to calculate the percentage of users accessing a specific website feature </w:t>
      </w:r>
      <w:proofErr w:type="gramStart"/>
      <w:r>
        <w:t>in order to</w:t>
      </w:r>
      <w:proofErr w:type="gramEnd"/>
      <w:r>
        <w:t xml:space="preserve"> analyse general trends in how users are interacting with our website to help improve the website and our service offering.</w:t>
      </w:r>
    </w:p>
    <w:p w14:paraId="77D94EB4" w14:textId="77777777" w:rsidR="00A0324B" w:rsidRDefault="00A0324B" w:rsidP="00E62330">
      <w:pPr>
        <w:pStyle w:val="TitleClause"/>
      </w:pPr>
      <w:r>
        <w:lastRenderedPageBreak/>
        <w:fldChar w:fldCharType="begin"/>
      </w:r>
      <w:r>
        <w:instrText>TC "3. How is your personal data collected?" \l 1</w:instrText>
      </w:r>
      <w:r>
        <w:fldChar w:fldCharType="end"/>
      </w:r>
      <w:bookmarkStart w:id="8" w:name="_Toc256000002"/>
      <w:bookmarkStart w:id="9" w:name="a524838"/>
      <w:r>
        <w:t>How is your personal data collected?</w:t>
      </w:r>
      <w:bookmarkEnd w:id="8"/>
      <w:bookmarkEnd w:id="9"/>
    </w:p>
    <w:p w14:paraId="77D94EB5" w14:textId="77777777" w:rsidR="00A0324B" w:rsidRDefault="00A0324B" w:rsidP="00E62330">
      <w:pPr>
        <w:pStyle w:val="NoNumUntitledClause"/>
        <w:ind w:left="0"/>
      </w:pPr>
      <w:bookmarkStart w:id="10" w:name="a653340"/>
      <w:r>
        <w:t>We use different methods to collect data from and about you including through:</w:t>
      </w:r>
      <w:bookmarkEnd w:id="10"/>
    </w:p>
    <w:p w14:paraId="77D94EB6" w14:textId="1D42ABB0" w:rsidR="00A0324B" w:rsidRPr="0052066E" w:rsidRDefault="00A0324B" w:rsidP="00E62330">
      <w:pPr>
        <w:pStyle w:val="ClauseBullet1"/>
      </w:pPr>
      <w:r>
        <w:rPr>
          <w:b/>
          <w:bCs/>
        </w:rPr>
        <w:t>Your interactions with us</w:t>
      </w:r>
      <w:r>
        <w:rPr>
          <w:b/>
        </w:rPr>
        <w:t>.</w:t>
      </w:r>
      <w:r>
        <w:t xml:space="preserve"> You may give us your personal data by filling in online forms or by corresponding with us by post, phone, email or otherwise. This includes personal data you provide when you:</w:t>
      </w:r>
    </w:p>
    <w:p w14:paraId="77D94EB7" w14:textId="77777777" w:rsidR="00A0324B" w:rsidRPr="0052066E" w:rsidRDefault="00A0324B" w:rsidP="00E62330">
      <w:pPr>
        <w:pStyle w:val="ClauseBullet2"/>
      </w:pPr>
      <w:r>
        <w:t xml:space="preserve">apply for our products or </w:t>
      </w:r>
      <w:proofErr w:type="gramStart"/>
      <w:r>
        <w:t>services;</w:t>
      </w:r>
      <w:proofErr w:type="gramEnd"/>
    </w:p>
    <w:p w14:paraId="77D94EB9" w14:textId="77777777" w:rsidR="00A0324B" w:rsidRPr="0052066E" w:rsidRDefault="00A0324B" w:rsidP="00E62330">
      <w:pPr>
        <w:pStyle w:val="ClauseBullet2"/>
      </w:pPr>
      <w:r>
        <w:t xml:space="preserve">subscribe to our service or </w:t>
      </w:r>
      <w:proofErr w:type="gramStart"/>
      <w:r>
        <w:t>publications;</w:t>
      </w:r>
      <w:proofErr w:type="gramEnd"/>
      <w:r>
        <w:t xml:space="preserve"> </w:t>
      </w:r>
    </w:p>
    <w:p w14:paraId="77D94EBA" w14:textId="77777777" w:rsidR="00A0324B" w:rsidRPr="0052066E" w:rsidRDefault="00A0324B" w:rsidP="00E62330">
      <w:pPr>
        <w:pStyle w:val="ClauseBullet2"/>
      </w:pPr>
      <w:r>
        <w:t xml:space="preserve">request marketing to be sent to </w:t>
      </w:r>
      <w:proofErr w:type="gramStart"/>
      <w:r>
        <w:t>you;</w:t>
      </w:r>
      <w:proofErr w:type="gramEnd"/>
    </w:p>
    <w:p w14:paraId="77D94EBB" w14:textId="77777777" w:rsidR="00A0324B" w:rsidRPr="0052066E" w:rsidRDefault="00A0324B" w:rsidP="00E62330">
      <w:pPr>
        <w:pStyle w:val="ClauseBullet2"/>
      </w:pPr>
      <w:r>
        <w:t>enter a competition, promotion or survey; or</w:t>
      </w:r>
    </w:p>
    <w:p w14:paraId="77D94EBC" w14:textId="77777777" w:rsidR="00A0324B" w:rsidRPr="0052066E" w:rsidRDefault="00A0324B" w:rsidP="00E62330">
      <w:pPr>
        <w:pStyle w:val="ClauseBullet2"/>
      </w:pPr>
      <w:r>
        <w:t xml:space="preserve">give us feedback or contact us. </w:t>
      </w:r>
    </w:p>
    <w:p w14:paraId="77D94EBD" w14:textId="205D454A" w:rsidR="00A0324B" w:rsidRPr="0052066E" w:rsidRDefault="00A0324B" w:rsidP="00E62330">
      <w:pPr>
        <w:pStyle w:val="ClauseBullet1"/>
      </w:pPr>
      <w:r>
        <w:rPr>
          <w:b/>
          <w:bCs/>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for further details.</w:t>
      </w:r>
    </w:p>
    <w:p w14:paraId="77D94EC3" w14:textId="430CFD31" w:rsidR="00A0324B" w:rsidRPr="0052066E" w:rsidRDefault="00A0324B" w:rsidP="00E62330">
      <w:pPr>
        <w:pStyle w:val="ClauseBullet1"/>
      </w:pPr>
      <w:r>
        <w:t>Contact, Financial and Transaction Data is collected from providers of technical, payment and delivery services.</w:t>
      </w:r>
    </w:p>
    <w:p w14:paraId="77D94EC7" w14:textId="77777777" w:rsidR="00A0324B" w:rsidRDefault="00A0324B" w:rsidP="00E62330">
      <w:pPr>
        <w:pStyle w:val="TitleClause"/>
      </w:pPr>
      <w:r>
        <w:fldChar w:fldCharType="begin"/>
      </w:r>
      <w:r>
        <w:instrText>TC "4. How we use your personal data" \l 1</w:instrText>
      </w:r>
      <w:r>
        <w:fldChar w:fldCharType="end"/>
      </w:r>
      <w:bookmarkStart w:id="11" w:name="_Toc256000003"/>
      <w:bookmarkStart w:id="12" w:name="a179246"/>
      <w:r>
        <w:t>How we use your personal data</w:t>
      </w:r>
      <w:bookmarkEnd w:id="11"/>
      <w:bookmarkEnd w:id="12"/>
    </w:p>
    <w:p w14:paraId="77D94EC8" w14:textId="77777777" w:rsidR="00A0324B" w:rsidRDefault="00A0324B" w:rsidP="00A0324B">
      <w:pPr>
        <w:pStyle w:val="NoNumTitle-Clause"/>
        <w:ind w:left="0"/>
      </w:pPr>
      <w:bookmarkStart w:id="13" w:name="a964261"/>
      <w:r>
        <w:t>Legal basis</w:t>
      </w:r>
      <w:bookmarkEnd w:id="13"/>
    </w:p>
    <w:p w14:paraId="77D94EC9" w14:textId="77777777" w:rsidR="00A0324B" w:rsidRPr="008736B9" w:rsidRDefault="00A0324B" w:rsidP="00E62330">
      <w:pPr>
        <w:pStyle w:val="NoNumUntitledClause"/>
        <w:ind w:left="0"/>
      </w:pPr>
      <w:bookmarkStart w:id="14" w:name="a573645"/>
      <w:r>
        <w:t>The law requires us to have a legal basis for collecting and using your personal data. We rely on one or more of the following legal bases:</w:t>
      </w:r>
      <w:bookmarkEnd w:id="14"/>
    </w:p>
    <w:p w14:paraId="77D94ECA" w14:textId="77777777" w:rsidR="00A0324B" w:rsidRPr="008736B9" w:rsidRDefault="00A0324B" w:rsidP="00E62330">
      <w:pPr>
        <w:pStyle w:val="ClauseBullet1"/>
      </w:pPr>
      <w:r>
        <w:rPr>
          <w:b/>
          <w:bCs/>
        </w:rPr>
        <w:t>Performance of a contract with you:</w:t>
      </w:r>
      <w:r>
        <w:t xml:space="preserve"> Where we need to perform the </w:t>
      </w:r>
      <w:proofErr w:type="gramStart"/>
      <w:r>
        <w:t>contract</w:t>
      </w:r>
      <w:proofErr w:type="gramEnd"/>
      <w:r>
        <w:t xml:space="preserve"> we are about to </w:t>
      </w:r>
      <w:proofErr w:type="gramStart"/>
      <w:r>
        <w:t>enter into</w:t>
      </w:r>
      <w:proofErr w:type="gramEnd"/>
      <w:r>
        <w:t xml:space="preserve"> or have </w:t>
      </w:r>
      <w:proofErr w:type="gramStart"/>
      <w:r>
        <w:t>entered into</w:t>
      </w:r>
      <w:proofErr w:type="gramEnd"/>
      <w:r>
        <w:t xml:space="preserve"> with you.</w:t>
      </w:r>
    </w:p>
    <w:p w14:paraId="77D94ECB" w14:textId="77777777" w:rsidR="00A0324B" w:rsidRPr="008736B9" w:rsidRDefault="00A0324B" w:rsidP="00E62330">
      <w:pPr>
        <w:pStyle w:val="ClauseBullet1"/>
      </w:pPr>
      <w:r>
        <w:rPr>
          <w:b/>
          <w:bCs/>
        </w:rPr>
        <w:t xml:space="preserve">Legitimate interests: </w:t>
      </w:r>
      <w:r>
        <w:t>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w:t>
      </w:r>
    </w:p>
    <w:p w14:paraId="77D94ECC" w14:textId="77777777" w:rsidR="00A0324B" w:rsidRDefault="00A0324B" w:rsidP="00E62330">
      <w:pPr>
        <w:pStyle w:val="ClauseBullet1"/>
      </w:pPr>
      <w:r>
        <w:rPr>
          <w:b/>
          <w:bCs/>
        </w:rPr>
        <w:t xml:space="preserve">Legal obligation: </w:t>
      </w:r>
      <w:r>
        <w:t>We may use your personal data where it is necessary for compliance with a legal obligation that we are subject to. We will identify the relevant legal obligation when we rely on this legal basis.</w:t>
      </w:r>
    </w:p>
    <w:p w14:paraId="77D94ECD" w14:textId="77777777" w:rsidR="00A0324B" w:rsidRPr="003E456F" w:rsidRDefault="00A0324B" w:rsidP="00E62330">
      <w:pPr>
        <w:pStyle w:val="ClauseBullet1"/>
        <w:rPr>
          <w:b/>
          <w:bCs/>
        </w:rPr>
      </w:pPr>
      <w:r>
        <w:rPr>
          <w:b/>
          <w:bCs/>
        </w:rPr>
        <w:t xml:space="preserve">Consent: </w:t>
      </w:r>
      <w:r>
        <w:t>We rely on consent only where we have obtained your active agreement to use your personal data for a specified purpose, for example if you subscribe to an email newsletter.</w:t>
      </w:r>
    </w:p>
    <w:p w14:paraId="77D94ECE" w14:textId="77777777" w:rsidR="00A0324B" w:rsidRDefault="00A0324B" w:rsidP="00E62330">
      <w:pPr>
        <w:pStyle w:val="NoNumTitle-Clause"/>
        <w:ind w:left="0"/>
      </w:pPr>
      <w:bookmarkStart w:id="15" w:name="a705127"/>
      <w:r>
        <w:lastRenderedPageBreak/>
        <w:t xml:space="preserve">Purposes for which we will use your personal data </w:t>
      </w:r>
      <w:bookmarkEnd w:id="15"/>
    </w:p>
    <w:p w14:paraId="77D94ECF" w14:textId="77777777" w:rsidR="00A0324B" w:rsidRPr="00F8117F" w:rsidRDefault="00A0324B" w:rsidP="00A0324B">
      <w:pPr>
        <w:pStyle w:val="NoNumUntitledClause"/>
        <w:ind w:left="0"/>
      </w:pPr>
      <w:bookmarkStart w:id="16" w:name="a590771"/>
      <w:r>
        <w:t>We have set out below, in a table format, a description of all the ways we plan to use the various categories of your personal data, and which of the legal bases we rely on to do so. We have also identified what our legitimate interests are where appropriate.</w:t>
      </w:r>
      <w:bookmarkEnd w:id="16"/>
    </w:p>
    <w:tbl>
      <w:tblPr>
        <w:tblStyle w:val="TableGrid"/>
        <w:tblW w:w="0" w:type="auto"/>
        <w:tblLook w:val="04A0" w:firstRow="1" w:lastRow="0" w:firstColumn="1" w:lastColumn="0" w:noHBand="0" w:noVBand="1"/>
      </w:tblPr>
      <w:tblGrid>
        <w:gridCol w:w="3560"/>
        <w:gridCol w:w="2757"/>
        <w:gridCol w:w="4365"/>
      </w:tblGrid>
      <w:tr w:rsidR="00B36087" w14:paraId="77D94ED4" w14:textId="77777777" w:rsidTr="00423369">
        <w:tc>
          <w:tcPr>
            <w:tcW w:w="3560" w:type="dxa"/>
            <w:tcBorders>
              <w:top w:val="single" w:sz="4" w:space="0" w:color="auto"/>
              <w:left w:val="single" w:sz="4" w:space="0" w:color="auto"/>
              <w:bottom w:val="single" w:sz="4" w:space="0" w:color="auto"/>
              <w:right w:val="single" w:sz="4" w:space="0" w:color="auto"/>
            </w:tcBorders>
          </w:tcPr>
          <w:p w14:paraId="77D94ED1" w14:textId="77777777" w:rsidR="00A0324B" w:rsidRPr="00E0001D" w:rsidRDefault="00A0324B" w:rsidP="00AF3F7C">
            <w:pPr>
              <w:pStyle w:val="Paragraph"/>
              <w:rPr>
                <w:b/>
              </w:rPr>
            </w:pPr>
            <w:r>
              <w:rPr>
                <w:b/>
              </w:rPr>
              <w:t>Purpose/Use</w:t>
            </w:r>
          </w:p>
        </w:tc>
        <w:tc>
          <w:tcPr>
            <w:tcW w:w="2757" w:type="dxa"/>
            <w:tcBorders>
              <w:top w:val="single" w:sz="4" w:space="0" w:color="auto"/>
              <w:left w:val="single" w:sz="4" w:space="0" w:color="auto"/>
              <w:bottom w:val="single" w:sz="4" w:space="0" w:color="auto"/>
              <w:right w:val="single" w:sz="4" w:space="0" w:color="auto"/>
            </w:tcBorders>
          </w:tcPr>
          <w:p w14:paraId="77D94ED2" w14:textId="77777777" w:rsidR="00A0324B" w:rsidRPr="00E0001D" w:rsidRDefault="00A0324B" w:rsidP="00AF3F7C">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77D94ED3" w14:textId="716C52F0" w:rsidR="00A0324B" w:rsidRPr="00E0001D" w:rsidRDefault="00A0324B" w:rsidP="00AF3F7C">
            <w:pPr>
              <w:pStyle w:val="Paragraph"/>
              <w:rPr>
                <w:b/>
              </w:rPr>
            </w:pPr>
            <w:r>
              <w:rPr>
                <w:b/>
              </w:rPr>
              <w:t xml:space="preserve">Legal basis </w:t>
            </w:r>
          </w:p>
        </w:tc>
      </w:tr>
      <w:tr w:rsidR="00B36087" w14:paraId="77D94EDB" w14:textId="77777777" w:rsidTr="00423369">
        <w:tc>
          <w:tcPr>
            <w:tcW w:w="3560" w:type="dxa"/>
            <w:tcBorders>
              <w:top w:val="single" w:sz="4" w:space="0" w:color="auto"/>
              <w:left w:val="single" w:sz="4" w:space="0" w:color="auto"/>
              <w:bottom w:val="single" w:sz="4" w:space="0" w:color="auto"/>
              <w:right w:val="single" w:sz="4" w:space="0" w:color="auto"/>
            </w:tcBorders>
          </w:tcPr>
          <w:p w14:paraId="77D94ED5" w14:textId="77777777" w:rsidR="00A0324B" w:rsidRDefault="00A0324B" w:rsidP="00AF3F7C">
            <w:pPr>
              <w:pStyle w:val="Paragraph"/>
            </w:pPr>
            <w:r>
              <w:t>To register you as a new customer</w:t>
            </w:r>
          </w:p>
        </w:tc>
        <w:tc>
          <w:tcPr>
            <w:tcW w:w="2757" w:type="dxa"/>
            <w:tcBorders>
              <w:top w:val="single" w:sz="4" w:space="0" w:color="auto"/>
              <w:left w:val="single" w:sz="4" w:space="0" w:color="auto"/>
              <w:bottom w:val="single" w:sz="4" w:space="0" w:color="auto"/>
              <w:right w:val="single" w:sz="4" w:space="0" w:color="auto"/>
            </w:tcBorders>
          </w:tcPr>
          <w:p w14:paraId="77D94ED6" w14:textId="77777777" w:rsidR="00A0324B" w:rsidRDefault="00A0324B" w:rsidP="00AF3F7C">
            <w:pPr>
              <w:pStyle w:val="Paragraph"/>
            </w:pPr>
            <w:r>
              <w:t xml:space="preserve">(a) Identity </w:t>
            </w:r>
          </w:p>
          <w:p w14:paraId="77D94ED7" w14:textId="77777777" w:rsidR="00A0324B" w:rsidRDefault="00A0324B" w:rsidP="00AF3F7C">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77D94ED8" w14:textId="14C3811C" w:rsidR="00A0324B" w:rsidRDefault="00A0324B" w:rsidP="00AF3F7C">
            <w:pPr>
              <w:pStyle w:val="Paragraph"/>
            </w:pPr>
            <w:r>
              <w:t>Performance of a contract with yo</w:t>
            </w:r>
            <w:r w:rsidR="00423369">
              <w:t>u</w:t>
            </w:r>
          </w:p>
          <w:p w14:paraId="2A3474DD" w14:textId="77777777" w:rsidR="00423369" w:rsidRDefault="00423369" w:rsidP="00423369">
            <w:pPr>
              <w:pStyle w:val="Paragraph"/>
            </w:pPr>
            <w:r>
              <w:t>We will retain this data for 6 years following the cessation of any Services.</w:t>
            </w:r>
          </w:p>
          <w:p w14:paraId="77D94EDA" w14:textId="7E8FE5B5" w:rsidR="00A0324B" w:rsidRDefault="00A0324B" w:rsidP="00423369">
            <w:pPr>
              <w:pStyle w:val="Paragraph"/>
            </w:pPr>
          </w:p>
        </w:tc>
      </w:tr>
      <w:tr w:rsidR="00B36087" w14:paraId="77D94EE8" w14:textId="77777777" w:rsidTr="00423369">
        <w:tc>
          <w:tcPr>
            <w:tcW w:w="3560" w:type="dxa"/>
            <w:tcBorders>
              <w:top w:val="single" w:sz="4" w:space="0" w:color="auto"/>
              <w:left w:val="single" w:sz="4" w:space="0" w:color="auto"/>
              <w:bottom w:val="single" w:sz="4" w:space="0" w:color="auto"/>
              <w:right w:val="single" w:sz="4" w:space="0" w:color="auto"/>
            </w:tcBorders>
          </w:tcPr>
          <w:p w14:paraId="77D94EDC" w14:textId="77777777" w:rsidR="00A0324B" w:rsidRDefault="00A0324B" w:rsidP="00AF3F7C">
            <w:pPr>
              <w:pStyle w:val="Paragraph"/>
            </w:pPr>
            <w:r>
              <w:t>To process and deliver your order including:</w:t>
            </w:r>
          </w:p>
          <w:p w14:paraId="77D94EDD" w14:textId="77777777" w:rsidR="00A0324B" w:rsidRDefault="00A0324B" w:rsidP="00AF3F7C">
            <w:pPr>
              <w:pStyle w:val="Paragraph"/>
            </w:pPr>
            <w:r>
              <w:t>(a) Manage payments, fees and charges</w:t>
            </w:r>
          </w:p>
          <w:p w14:paraId="77D94EDE" w14:textId="77777777" w:rsidR="00A0324B" w:rsidRDefault="00A0324B" w:rsidP="00AF3F7C">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tcPr>
          <w:p w14:paraId="77D94EDF" w14:textId="77777777" w:rsidR="00A0324B" w:rsidRDefault="00A0324B" w:rsidP="00AF3F7C">
            <w:pPr>
              <w:pStyle w:val="Paragraph"/>
            </w:pPr>
            <w:r>
              <w:t xml:space="preserve">(a) Identity </w:t>
            </w:r>
          </w:p>
          <w:p w14:paraId="77D94EE0" w14:textId="77777777" w:rsidR="00A0324B" w:rsidRDefault="00A0324B" w:rsidP="00AF3F7C">
            <w:pPr>
              <w:pStyle w:val="Paragraph"/>
            </w:pPr>
            <w:r>
              <w:t xml:space="preserve">(b) Contact </w:t>
            </w:r>
          </w:p>
          <w:p w14:paraId="77D94EE1" w14:textId="77777777" w:rsidR="00A0324B" w:rsidRDefault="00A0324B" w:rsidP="00AF3F7C">
            <w:pPr>
              <w:pStyle w:val="Paragraph"/>
            </w:pPr>
            <w:r>
              <w:t xml:space="preserve">(c) Financial </w:t>
            </w:r>
          </w:p>
          <w:p w14:paraId="77D94EE2" w14:textId="77777777" w:rsidR="00A0324B" w:rsidRDefault="00A0324B" w:rsidP="00AF3F7C">
            <w:pPr>
              <w:pStyle w:val="Paragraph"/>
            </w:pPr>
            <w:r>
              <w:t xml:space="preserve">(d) Transaction </w:t>
            </w:r>
          </w:p>
          <w:p w14:paraId="77D94EE3" w14:textId="77777777" w:rsidR="00A0324B" w:rsidRDefault="00A0324B" w:rsidP="00AF3F7C">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77D94EE4" w14:textId="77777777" w:rsidR="00A0324B" w:rsidRDefault="00A0324B" w:rsidP="00AF3F7C">
            <w:pPr>
              <w:pStyle w:val="Paragraph"/>
            </w:pPr>
            <w:r>
              <w:t xml:space="preserve">(a) Performance of a contract with you </w:t>
            </w:r>
          </w:p>
          <w:p w14:paraId="77D94EE5" w14:textId="77777777" w:rsidR="00A0324B" w:rsidRDefault="00A0324B" w:rsidP="00AF3F7C">
            <w:pPr>
              <w:pStyle w:val="Paragraph"/>
            </w:pPr>
            <w:r>
              <w:t>(b) Necessary for our legitimate interests (to recover debts due to us)</w:t>
            </w:r>
          </w:p>
          <w:p w14:paraId="5E7DDA8D" w14:textId="77777777" w:rsidR="00423369" w:rsidRDefault="00423369" w:rsidP="00423369">
            <w:pPr>
              <w:pStyle w:val="Paragraph"/>
            </w:pPr>
            <w:r>
              <w:t>We will retain this data for 6 years following the cessation of any Services.</w:t>
            </w:r>
          </w:p>
          <w:p w14:paraId="77D94EE7" w14:textId="23F08DD5" w:rsidR="00A0324B" w:rsidRDefault="00A0324B" w:rsidP="00AF3F7C">
            <w:pPr>
              <w:pStyle w:val="Paragraph"/>
            </w:pPr>
          </w:p>
        </w:tc>
      </w:tr>
      <w:tr w:rsidR="00B36087" w14:paraId="77D94EF5" w14:textId="77777777" w:rsidTr="00423369">
        <w:tc>
          <w:tcPr>
            <w:tcW w:w="3560" w:type="dxa"/>
            <w:tcBorders>
              <w:top w:val="single" w:sz="4" w:space="0" w:color="auto"/>
              <w:left w:val="single" w:sz="4" w:space="0" w:color="auto"/>
              <w:bottom w:val="single" w:sz="4" w:space="0" w:color="auto"/>
              <w:right w:val="single" w:sz="4" w:space="0" w:color="auto"/>
            </w:tcBorders>
          </w:tcPr>
          <w:p w14:paraId="77D94EE9" w14:textId="77777777" w:rsidR="00A0324B" w:rsidRDefault="00A0324B" w:rsidP="00AF3F7C">
            <w:pPr>
              <w:pStyle w:val="Paragraph"/>
            </w:pPr>
            <w:r>
              <w:t>To manage our relationship with you which will include:</w:t>
            </w:r>
          </w:p>
          <w:p w14:paraId="77D94EEA" w14:textId="77777777" w:rsidR="00A0324B" w:rsidRDefault="00A0324B" w:rsidP="00AF3F7C">
            <w:pPr>
              <w:pStyle w:val="Paragraph"/>
            </w:pPr>
            <w:r>
              <w:t>(a) Notifying you about changes to our terms or privacy policy</w:t>
            </w:r>
          </w:p>
          <w:p w14:paraId="77D94EEB" w14:textId="77777777" w:rsidR="00A0324B" w:rsidRDefault="00A0324B" w:rsidP="00AF3F7C">
            <w:pPr>
              <w:pStyle w:val="Paragraph"/>
            </w:pPr>
            <w:r>
              <w:t>(b) Dealing with your requests, complaints and queries</w:t>
            </w:r>
          </w:p>
        </w:tc>
        <w:tc>
          <w:tcPr>
            <w:tcW w:w="2757" w:type="dxa"/>
            <w:tcBorders>
              <w:top w:val="single" w:sz="4" w:space="0" w:color="auto"/>
              <w:left w:val="single" w:sz="4" w:space="0" w:color="auto"/>
              <w:bottom w:val="single" w:sz="4" w:space="0" w:color="auto"/>
              <w:right w:val="single" w:sz="4" w:space="0" w:color="auto"/>
            </w:tcBorders>
          </w:tcPr>
          <w:p w14:paraId="77D94EEC" w14:textId="77777777" w:rsidR="00A0324B" w:rsidRDefault="00A0324B" w:rsidP="00AF3F7C">
            <w:pPr>
              <w:pStyle w:val="Paragraph"/>
            </w:pPr>
            <w:r>
              <w:t xml:space="preserve">(a) Identity </w:t>
            </w:r>
          </w:p>
          <w:p w14:paraId="77D94EED" w14:textId="77777777" w:rsidR="00A0324B" w:rsidRDefault="00A0324B" w:rsidP="00AF3F7C">
            <w:pPr>
              <w:pStyle w:val="Paragraph"/>
            </w:pPr>
            <w:r>
              <w:t xml:space="preserve">(b) Contact </w:t>
            </w:r>
          </w:p>
          <w:p w14:paraId="77D94EEE" w14:textId="77777777" w:rsidR="00A0324B" w:rsidRDefault="00A0324B" w:rsidP="00AF3F7C">
            <w:pPr>
              <w:pStyle w:val="Paragraph"/>
            </w:pPr>
            <w:r>
              <w:t xml:space="preserve">(c) Profile </w:t>
            </w:r>
          </w:p>
          <w:p w14:paraId="77D94EEF" w14:textId="77777777" w:rsidR="00A0324B" w:rsidRDefault="00A0324B" w:rsidP="00AF3F7C">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77D94EF0" w14:textId="77777777" w:rsidR="00A0324B" w:rsidRDefault="00A0324B" w:rsidP="00AF3F7C">
            <w:pPr>
              <w:pStyle w:val="Paragraph"/>
            </w:pPr>
            <w:r>
              <w:t xml:space="preserve">(a) Performance of a contract with you </w:t>
            </w:r>
          </w:p>
          <w:p w14:paraId="77D94EF1" w14:textId="77777777" w:rsidR="00A0324B" w:rsidRDefault="00A0324B" w:rsidP="00AF3F7C">
            <w:pPr>
              <w:pStyle w:val="Paragraph"/>
            </w:pPr>
            <w:r>
              <w:t>(b) Necessary to comply with a legal obligation</w:t>
            </w:r>
          </w:p>
          <w:p w14:paraId="77D94EF2" w14:textId="77777777" w:rsidR="00A0324B" w:rsidRDefault="00A0324B" w:rsidP="00AF3F7C">
            <w:pPr>
              <w:pStyle w:val="Paragraph"/>
            </w:pPr>
            <w:r>
              <w:t>(c) Necessary for our legitimate interests (to keep our records updated and manage our relationship with you</w:t>
            </w:r>
          </w:p>
          <w:p w14:paraId="429D0762" w14:textId="77777777" w:rsidR="00423369" w:rsidRDefault="00423369" w:rsidP="00423369">
            <w:pPr>
              <w:pStyle w:val="Paragraph"/>
            </w:pPr>
            <w:r>
              <w:t>We will retain this data for 6 years following the cessation of any Services.</w:t>
            </w:r>
          </w:p>
          <w:p w14:paraId="77D94EF4" w14:textId="4668EEC6" w:rsidR="00A0324B" w:rsidRDefault="00A0324B" w:rsidP="00AF3F7C">
            <w:pPr>
              <w:pStyle w:val="Paragraph"/>
            </w:pPr>
          </w:p>
        </w:tc>
      </w:tr>
    </w:tbl>
    <w:p w14:paraId="77D94F35" w14:textId="12E180F3" w:rsidR="00A0324B" w:rsidRPr="008C6431" w:rsidRDefault="00A0324B" w:rsidP="00E62330">
      <w:pPr>
        <w:pStyle w:val="NoNumTitle-Clause"/>
        <w:ind w:left="0"/>
      </w:pPr>
      <w:bookmarkStart w:id="17" w:name="a512081"/>
      <w:r>
        <w:lastRenderedPageBreak/>
        <w:t>Cookies</w:t>
      </w:r>
      <w:bookmarkEnd w:id="17"/>
    </w:p>
    <w:p w14:paraId="77D94F36" w14:textId="74A23A73" w:rsidR="00A0324B" w:rsidRPr="00203C8A" w:rsidRDefault="00A0324B" w:rsidP="00E62330">
      <w:pPr>
        <w:pStyle w:val="NoNumUntitledClause"/>
        <w:ind w:left="0"/>
      </w:pPr>
      <w:bookmarkStart w:id="18" w:name="a591491"/>
      <w:r>
        <w:t xml:space="preserve">For more information about the </w:t>
      </w:r>
      <w:proofErr w:type="gramStart"/>
      <w:r>
        <w:t>cookies</w:t>
      </w:r>
      <w:proofErr w:type="gramEnd"/>
      <w:r>
        <w:t xml:space="preserve"> we use and how to change your cookie preferences, please see </w:t>
      </w:r>
      <w:bookmarkEnd w:id="18"/>
      <w:r w:rsidR="00423369">
        <w:t>the Cookies Policy on our website.</w:t>
      </w:r>
    </w:p>
    <w:p w14:paraId="77D94F37" w14:textId="77777777" w:rsidR="00A0324B" w:rsidRDefault="00A0324B" w:rsidP="00E62330">
      <w:pPr>
        <w:pStyle w:val="TitleClause"/>
      </w:pPr>
      <w:r>
        <w:fldChar w:fldCharType="begin"/>
      </w:r>
      <w:r>
        <w:instrText>TC "5. Disclosures of your personal data" \l 1</w:instrText>
      </w:r>
      <w:r>
        <w:fldChar w:fldCharType="end"/>
      </w:r>
      <w:bookmarkStart w:id="19" w:name="_Toc256000004"/>
      <w:bookmarkStart w:id="20" w:name="a239061"/>
      <w:r>
        <w:t>Disclosures of your personal data</w:t>
      </w:r>
      <w:bookmarkEnd w:id="19"/>
      <w:bookmarkEnd w:id="20"/>
    </w:p>
    <w:p w14:paraId="77D94F38" w14:textId="0EA95567" w:rsidR="00A0324B" w:rsidRPr="00BE5C75" w:rsidRDefault="00A0324B" w:rsidP="00E62330">
      <w:pPr>
        <w:pStyle w:val="NoNumUntitledClause"/>
        <w:ind w:left="0"/>
      </w:pPr>
      <w:bookmarkStart w:id="21" w:name="a342752"/>
      <w:r>
        <w:t>We may share your personal data where necessary with the parties set out below for the purposes set out in the table above.</w:t>
      </w:r>
      <w:bookmarkEnd w:id="21"/>
    </w:p>
    <w:p w14:paraId="77D94F3D" w14:textId="77777777" w:rsidR="00A0324B" w:rsidRDefault="00A0324B" w:rsidP="00E62330">
      <w:pPr>
        <w:pStyle w:val="NoNumUntitledClause"/>
        <w:ind w:left="0"/>
      </w:pPr>
      <w:bookmarkStart w:id="22" w:name="a880441"/>
      <w: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22"/>
    </w:p>
    <w:p w14:paraId="77D94F3E" w14:textId="77777777" w:rsidR="00A0324B" w:rsidRDefault="00A0324B" w:rsidP="00E62330">
      <w:pPr>
        <w:pStyle w:val="TitleClause"/>
      </w:pPr>
      <w:r>
        <w:fldChar w:fldCharType="begin"/>
      </w:r>
      <w:r>
        <w:instrText>TC "6. International transfers" \l 1</w:instrText>
      </w:r>
      <w:r>
        <w:fldChar w:fldCharType="end"/>
      </w:r>
      <w:bookmarkStart w:id="23" w:name="_Toc256000005"/>
      <w:bookmarkStart w:id="24" w:name="a888527"/>
      <w:r>
        <w:t>International transfers</w:t>
      </w:r>
      <w:bookmarkEnd w:id="23"/>
      <w:bookmarkEnd w:id="24"/>
    </w:p>
    <w:p w14:paraId="77D94F3F" w14:textId="3FB48C58" w:rsidR="00A0324B" w:rsidRDefault="00A0324B" w:rsidP="00E62330">
      <w:pPr>
        <w:pStyle w:val="NoNumUntitledClause"/>
        <w:ind w:left="0"/>
      </w:pPr>
      <w:bookmarkStart w:id="25" w:name="a916272"/>
      <w:r>
        <w:t>We do not transfer your personal data outside the UK.</w:t>
      </w:r>
      <w:bookmarkEnd w:id="25"/>
    </w:p>
    <w:p w14:paraId="77D94F4C" w14:textId="77777777" w:rsidR="00A0324B" w:rsidRDefault="00A0324B" w:rsidP="00E62330">
      <w:pPr>
        <w:pStyle w:val="TitleClause"/>
      </w:pPr>
      <w:r>
        <w:fldChar w:fldCharType="begin"/>
      </w:r>
      <w:r>
        <w:instrText>TC "7. Data security" \l 1</w:instrText>
      </w:r>
      <w:r>
        <w:fldChar w:fldCharType="end"/>
      </w:r>
      <w:bookmarkStart w:id="26" w:name="_Toc256000006"/>
      <w:bookmarkStart w:id="27" w:name="a424553"/>
      <w:r>
        <w:t>Data security</w:t>
      </w:r>
      <w:bookmarkEnd w:id="26"/>
      <w:bookmarkEnd w:id="27"/>
    </w:p>
    <w:p w14:paraId="77D94F4D" w14:textId="77777777" w:rsidR="00A0324B" w:rsidRDefault="00A0324B" w:rsidP="00E62330">
      <w:pPr>
        <w:pStyle w:val="NoNumUntitledClause"/>
        <w:ind w:left="0"/>
      </w:pPr>
      <w:bookmarkStart w:id="28" w:name="a123273"/>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t>instructions</w:t>
      </w:r>
      <w:proofErr w:type="gramEnd"/>
      <w:r>
        <w:t xml:space="preserve"> and they are subject to a duty of confidentiality. </w:t>
      </w:r>
      <w:bookmarkEnd w:id="28"/>
    </w:p>
    <w:p w14:paraId="77D94F4E" w14:textId="77777777" w:rsidR="00A0324B" w:rsidRPr="00A17340" w:rsidRDefault="00A0324B" w:rsidP="00423369">
      <w:pPr>
        <w:pStyle w:val="NoNumUntitledClause"/>
        <w:ind w:left="0"/>
      </w:pPr>
      <w:bookmarkStart w:id="29" w:name="a924764"/>
      <w:r>
        <w:t>We have put in place procedures to deal with any suspected personal data breach and will notify you and any applicable regulator of a breach where we are legally required to do so.</w:t>
      </w:r>
      <w:bookmarkEnd w:id="29"/>
    </w:p>
    <w:p w14:paraId="77D94F4F" w14:textId="77777777" w:rsidR="00A0324B" w:rsidRDefault="00A0324B" w:rsidP="00E62330">
      <w:pPr>
        <w:pStyle w:val="TitleClause"/>
      </w:pPr>
      <w:r>
        <w:fldChar w:fldCharType="begin"/>
      </w:r>
      <w:r>
        <w:instrText>TC "8. Data retention" \l 1</w:instrText>
      </w:r>
      <w:r>
        <w:fldChar w:fldCharType="end"/>
      </w:r>
      <w:bookmarkStart w:id="30" w:name="_Toc256000007"/>
      <w:bookmarkStart w:id="31" w:name="a852989"/>
      <w:r>
        <w:t>Data retention</w:t>
      </w:r>
      <w:bookmarkEnd w:id="30"/>
      <w:bookmarkEnd w:id="31"/>
    </w:p>
    <w:p w14:paraId="77D94F50" w14:textId="77777777" w:rsidR="00A0324B" w:rsidRPr="00850A81" w:rsidRDefault="00A0324B" w:rsidP="00E62330">
      <w:pPr>
        <w:pStyle w:val="NoNumTitle-Clause"/>
        <w:ind w:left="0"/>
      </w:pPr>
      <w:bookmarkStart w:id="32" w:name="a536431"/>
      <w:r>
        <w:t>How long will you use my personal data for?</w:t>
      </w:r>
      <w:bookmarkEnd w:id="32"/>
    </w:p>
    <w:p w14:paraId="77D94F51" w14:textId="76E2CA86" w:rsidR="00A0324B" w:rsidRDefault="00A0324B" w:rsidP="00423369">
      <w:pPr>
        <w:pStyle w:val="NoNumUntitledClause"/>
        <w:ind w:left="0"/>
      </w:pPr>
      <w:bookmarkStart w:id="33" w:name="a211644"/>
      <w:r>
        <w:t>Details of retention periods for different aspects of your personal data are set out in the table above.</w:t>
      </w:r>
      <w:bookmarkEnd w:id="33"/>
    </w:p>
    <w:p w14:paraId="77D94F58" w14:textId="77777777" w:rsidR="00A0324B" w:rsidRDefault="00A0324B" w:rsidP="00E62330">
      <w:pPr>
        <w:pStyle w:val="TitleClause"/>
      </w:pPr>
      <w:r>
        <w:fldChar w:fldCharType="begin"/>
      </w:r>
      <w:r>
        <w:instrText>TC "9. Your legal rights" \l 1</w:instrText>
      </w:r>
      <w:r>
        <w:fldChar w:fldCharType="end"/>
      </w:r>
      <w:bookmarkStart w:id="34" w:name="_Toc256000008"/>
      <w:bookmarkStart w:id="35" w:name="a152621"/>
      <w:r>
        <w:t>Your legal rights</w:t>
      </w:r>
      <w:bookmarkEnd w:id="34"/>
      <w:bookmarkEnd w:id="35"/>
    </w:p>
    <w:p w14:paraId="77D94F59" w14:textId="77777777" w:rsidR="00A0324B" w:rsidRPr="00B927DF" w:rsidRDefault="00A0324B" w:rsidP="00423369">
      <w:pPr>
        <w:pStyle w:val="NoNumUntitledClause"/>
        <w:ind w:left="0"/>
      </w:pPr>
      <w:bookmarkStart w:id="36" w:name="a905008"/>
      <w:r>
        <w:t xml:space="preserve">You have </w:t>
      </w:r>
      <w:proofErr w:type="gramStart"/>
      <w:r>
        <w:t>a number of</w:t>
      </w:r>
      <w:proofErr w:type="gramEnd"/>
      <w:r>
        <w:t xml:space="preserve"> rights under data protection laws in relation to your personal data. </w:t>
      </w:r>
      <w:bookmarkEnd w:id="36"/>
    </w:p>
    <w:p w14:paraId="77D94F5A" w14:textId="77777777" w:rsidR="00A0324B" w:rsidRDefault="00A0324B" w:rsidP="00423369">
      <w:pPr>
        <w:pStyle w:val="NoNumUntitledClause"/>
        <w:ind w:left="0"/>
      </w:pPr>
      <w:bookmarkStart w:id="37" w:name="a807579"/>
      <w:r>
        <w:t>You have the right to:</w:t>
      </w:r>
      <w:bookmarkEnd w:id="37"/>
    </w:p>
    <w:p w14:paraId="77D94F5B" w14:textId="77777777" w:rsidR="00A0324B" w:rsidRDefault="00A0324B" w:rsidP="00423369">
      <w:pPr>
        <w:pStyle w:val="ClauseBullet1"/>
      </w:pPr>
      <w:r>
        <w:t>Request access to your personal data (commonly known as a "subject access request"). This enables you to receive a copy of the personal data we hold about you and to check that we are lawfully processing it.</w:t>
      </w:r>
    </w:p>
    <w:p w14:paraId="77D94F5C" w14:textId="77777777" w:rsidR="00A0324B" w:rsidRDefault="00A0324B" w:rsidP="00423369">
      <w:pPr>
        <w:pStyle w:val="ClauseBullet1"/>
      </w:pPr>
      <w:r>
        <w:t>Request correction of the personal data that we hold about you. This enables you to have any incomplete or inaccurate data we hold about you corrected, though we may need to verify the accuracy of the new data you provide to us.</w:t>
      </w:r>
    </w:p>
    <w:p w14:paraId="77D94F5D" w14:textId="77777777" w:rsidR="00A0324B" w:rsidRDefault="00A0324B" w:rsidP="00423369">
      <w:pPr>
        <w:pStyle w:val="ClauseBullet1"/>
      </w:pPr>
      <w:r>
        <w:t xml:space="preserve">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w:t>
      </w:r>
      <w:r>
        <w:lastRenderedPageBreak/>
        <w:t>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77D94F5E" w14:textId="77777777" w:rsidR="00A0324B" w:rsidRDefault="00A0324B" w:rsidP="00E62330">
      <w:pPr>
        <w:pStyle w:val="ClauseBullet1"/>
      </w:pPr>
      <w:r>
        <w: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w:t>
      </w:r>
    </w:p>
    <w:p w14:paraId="77D94F61" w14:textId="7EF1F695" w:rsidR="00A0324B" w:rsidRDefault="00A0324B" w:rsidP="00E62330">
      <w:pPr>
        <w:pStyle w:val="ClauseBullet1"/>
      </w:pPr>
      <w:r>
        <w:t xml:space="preserve">Withdraw consent at any time where we are relying on consent to process your personal data (see the table </w:t>
      </w:r>
      <w:r w:rsidR="004A5862">
        <w:t xml:space="preserve">above </w:t>
      </w:r>
      <w:r>
        <w:t>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77D94F62" w14:textId="77777777" w:rsidR="00A0324B" w:rsidRDefault="00A0324B" w:rsidP="00E62330">
      <w:pPr>
        <w:pStyle w:val="ClauseBullet1"/>
      </w:pPr>
      <w:r>
        <w:t>Request restriction of processing of your personal data. This enables you to ask us to suspend the processing of your personal data in one of the following scenarios:</w:t>
      </w:r>
    </w:p>
    <w:p w14:paraId="77D94F63" w14:textId="77777777" w:rsidR="00A0324B" w:rsidRDefault="00A0324B" w:rsidP="00E62330">
      <w:pPr>
        <w:pStyle w:val="ClauseBullet2"/>
      </w:pPr>
      <w:r>
        <w:t xml:space="preserve">If you want us to establish the data's </w:t>
      </w:r>
      <w:proofErr w:type="gramStart"/>
      <w:r>
        <w:t>accuracy;</w:t>
      </w:r>
      <w:proofErr w:type="gramEnd"/>
    </w:p>
    <w:p w14:paraId="77D94F64" w14:textId="77777777" w:rsidR="00A0324B" w:rsidRDefault="00A0324B" w:rsidP="00E62330">
      <w:pPr>
        <w:pStyle w:val="ClauseBullet2"/>
      </w:pPr>
      <w:r>
        <w:t xml:space="preserve">Where our use of the data is </w:t>
      </w:r>
      <w:proofErr w:type="gramStart"/>
      <w:r>
        <w:t>unlawful</w:t>
      </w:r>
      <w:proofErr w:type="gramEnd"/>
      <w:r>
        <w:t xml:space="preserve"> but you do not want us to erase </w:t>
      </w:r>
      <w:proofErr w:type="gramStart"/>
      <w:r>
        <w:t>it;</w:t>
      </w:r>
      <w:proofErr w:type="gramEnd"/>
    </w:p>
    <w:p w14:paraId="77D94F65" w14:textId="77777777" w:rsidR="00A0324B" w:rsidRDefault="00A0324B" w:rsidP="00E62330">
      <w:pPr>
        <w:pStyle w:val="ClauseBullet2"/>
      </w:pPr>
      <w:r>
        <w:t>Where you need us to hold the data even if we no longer require it as you need it to establish, exercise or defend legal claims; or</w:t>
      </w:r>
    </w:p>
    <w:p w14:paraId="77D94F66" w14:textId="77777777" w:rsidR="00A0324B" w:rsidRDefault="00A0324B" w:rsidP="00E62330">
      <w:pPr>
        <w:pStyle w:val="ClauseBullet2"/>
      </w:pPr>
      <w:r>
        <w:t xml:space="preserve">You have objected to our use of your </w:t>
      </w:r>
      <w:proofErr w:type="gramStart"/>
      <w:r>
        <w:t>data</w:t>
      </w:r>
      <w:proofErr w:type="gramEnd"/>
      <w:r>
        <w:t xml:space="preserve"> but we need to verify whether we have overriding legitimate grounds to use it.</w:t>
      </w:r>
    </w:p>
    <w:p w14:paraId="77D94F67" w14:textId="36FA4B83" w:rsidR="00A0324B" w:rsidRPr="00E02831" w:rsidRDefault="00A0324B" w:rsidP="00E62330">
      <w:pPr>
        <w:pStyle w:val="NoNumUntitledClause"/>
        <w:ind w:left="0"/>
      </w:pPr>
      <w:bookmarkStart w:id="38" w:name="a694615"/>
      <w:r>
        <w:lastRenderedPageBreak/>
        <w:t>If you wish to exercise any of the rights set out above, please contact us</w:t>
      </w:r>
      <w:bookmarkEnd w:id="38"/>
      <w:r w:rsidR="004A5862">
        <w:t>.</w:t>
      </w:r>
    </w:p>
    <w:p w14:paraId="77D94F68" w14:textId="77777777" w:rsidR="00A0324B" w:rsidRPr="00E02831" w:rsidRDefault="00A0324B" w:rsidP="00E62330">
      <w:pPr>
        <w:pStyle w:val="NoNumTitle-Clause"/>
        <w:ind w:left="0"/>
      </w:pPr>
      <w:bookmarkStart w:id="39" w:name="a367507"/>
      <w:r>
        <w:t>No fee usually required</w:t>
      </w:r>
      <w:bookmarkEnd w:id="39"/>
    </w:p>
    <w:p w14:paraId="77D94F69" w14:textId="77777777" w:rsidR="00A0324B" w:rsidRPr="00E02831" w:rsidRDefault="00A0324B" w:rsidP="00E62330">
      <w:pPr>
        <w:pStyle w:val="NoNumUntitledClause"/>
        <w:ind w:left="0"/>
      </w:pPr>
      <w:bookmarkStart w:id="40" w:name="a152124"/>
      <w: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40"/>
    </w:p>
    <w:p w14:paraId="77D94F6A" w14:textId="77777777" w:rsidR="00A0324B" w:rsidRPr="00E02831" w:rsidRDefault="00A0324B" w:rsidP="00E62330">
      <w:pPr>
        <w:pStyle w:val="NoNumTitle-Clause"/>
        <w:ind w:left="0"/>
      </w:pPr>
      <w:bookmarkStart w:id="41" w:name="a892914"/>
      <w:r>
        <w:t>What we may need from you</w:t>
      </w:r>
      <w:bookmarkEnd w:id="41"/>
    </w:p>
    <w:p w14:paraId="77D94F6B" w14:textId="77777777" w:rsidR="00A0324B" w:rsidRPr="00E02831" w:rsidRDefault="00A0324B" w:rsidP="00E62330">
      <w:pPr>
        <w:pStyle w:val="NoNumUntitledClause"/>
        <w:ind w:left="0"/>
      </w:pPr>
      <w:bookmarkStart w:id="42" w:name="a853930"/>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42"/>
    </w:p>
    <w:p w14:paraId="77D94F6C" w14:textId="77777777" w:rsidR="00A0324B" w:rsidRPr="00E02831" w:rsidRDefault="00A0324B" w:rsidP="00E62330">
      <w:pPr>
        <w:pStyle w:val="NoNumTitle-Clause"/>
        <w:ind w:left="0"/>
      </w:pPr>
      <w:bookmarkStart w:id="43" w:name="a703850"/>
      <w:r>
        <w:t>Time limit to respond</w:t>
      </w:r>
      <w:bookmarkEnd w:id="43"/>
    </w:p>
    <w:p w14:paraId="77D94F6D" w14:textId="77777777" w:rsidR="00A0324B" w:rsidRDefault="00A0324B" w:rsidP="00E62330">
      <w:pPr>
        <w:pStyle w:val="NoNumUntitledClause"/>
        <w:ind w:left="0"/>
      </w:pPr>
      <w:bookmarkStart w:id="44" w:name="a594954"/>
      <w:r>
        <w:t xml:space="preserve">We try to respond to all legitimate requests within one month. Occasionally it could take us longer than a month if your request is particularly complex or you have made </w:t>
      </w:r>
      <w:proofErr w:type="gramStart"/>
      <w:r>
        <w:t>a number of</w:t>
      </w:r>
      <w:proofErr w:type="gramEnd"/>
      <w:r>
        <w:t xml:space="preserve"> requests. In this case, we will notify you and keep you updated. </w:t>
      </w:r>
      <w:bookmarkEnd w:id="44"/>
    </w:p>
    <w:p w14:paraId="77D94F6E" w14:textId="77777777" w:rsidR="00A0324B" w:rsidRDefault="00A0324B" w:rsidP="00E62330">
      <w:pPr>
        <w:pStyle w:val="TitleClause"/>
      </w:pPr>
      <w:r>
        <w:fldChar w:fldCharType="begin"/>
      </w:r>
      <w:r>
        <w:instrText>TC "10. Contact details" \l 1</w:instrText>
      </w:r>
      <w:r>
        <w:fldChar w:fldCharType="end"/>
      </w:r>
      <w:bookmarkStart w:id="45" w:name="_Toc256000009"/>
      <w:bookmarkStart w:id="46" w:name="a682882"/>
      <w:r>
        <w:t>Contact details</w:t>
      </w:r>
      <w:bookmarkEnd w:id="45"/>
      <w:bookmarkEnd w:id="46"/>
    </w:p>
    <w:p w14:paraId="77D94F6F" w14:textId="0B810944" w:rsidR="00A0324B" w:rsidRDefault="00A0324B" w:rsidP="00E62330">
      <w:pPr>
        <w:pStyle w:val="NoNumUntitledClause"/>
      </w:pPr>
      <w:bookmarkStart w:id="47" w:name="a679082"/>
      <w:r>
        <w:t xml:space="preserve">If you have any questions about this privacy policy or about the use of your personal data or </w:t>
      </w:r>
      <w:proofErr w:type="gramStart"/>
      <w:r>
        <w:t>you want</w:t>
      </w:r>
      <w:proofErr w:type="gramEnd"/>
      <w:r>
        <w:t xml:space="preserve"> to exercise your privacy rights, please contact us by email:</w:t>
      </w:r>
      <w:bookmarkEnd w:id="47"/>
    </w:p>
    <w:p w14:paraId="77D94F70" w14:textId="047AC73F" w:rsidR="00A0324B" w:rsidRDefault="00A0324B" w:rsidP="00E62330">
      <w:pPr>
        <w:pStyle w:val="ClauseBullet1"/>
      </w:pPr>
      <w:r>
        <w:t xml:space="preserve">Email address: </w:t>
      </w:r>
      <w:r w:rsidR="00853FA3">
        <w:t>k</w:t>
      </w:r>
      <w:r w:rsidR="00D21A85">
        <w:t>elly@wilddaises.info</w:t>
      </w:r>
    </w:p>
    <w:p w14:paraId="77D94F73" w14:textId="77777777" w:rsidR="00A0324B" w:rsidRDefault="00A0324B" w:rsidP="00E62330">
      <w:pPr>
        <w:pStyle w:val="TitleClause"/>
      </w:pPr>
      <w:r>
        <w:fldChar w:fldCharType="begin"/>
      </w:r>
      <w:r>
        <w:instrText>TC "11. Complaints" \l 1</w:instrText>
      </w:r>
      <w:r>
        <w:fldChar w:fldCharType="end"/>
      </w:r>
      <w:bookmarkStart w:id="48" w:name="_Toc256000010"/>
      <w:bookmarkStart w:id="49" w:name="a194718"/>
      <w:r>
        <w:t>Complaints</w:t>
      </w:r>
      <w:bookmarkEnd w:id="48"/>
      <w:bookmarkEnd w:id="49"/>
    </w:p>
    <w:p w14:paraId="77D94F74" w14:textId="77777777" w:rsidR="00A0324B" w:rsidRDefault="00A0324B" w:rsidP="00E62330">
      <w:pPr>
        <w:pStyle w:val="NoNumUntitledClause"/>
      </w:pPr>
      <w:bookmarkStart w:id="50" w:name="a396864"/>
      <w:r>
        <w:t>You have the right to make a complaint at any time to the Information Commissioner’s Office (ICO), the UK regulator for data protection issues (</w:t>
      </w:r>
      <w:r>
        <w:rPr>
          <w:rStyle w:val="Hyperlink"/>
          <w:i w:val="0"/>
          <w:u w:val="none"/>
        </w:rPr>
        <w:t>www.ico.org.uk</w:t>
      </w:r>
      <w:r>
        <w:t>). We would, however, appreciate the chance to deal with your concerns before you approach the ICO so please contact us in the first instance.</w:t>
      </w:r>
      <w:bookmarkEnd w:id="50"/>
    </w:p>
    <w:p w14:paraId="77D94F75" w14:textId="77777777" w:rsidR="00A0324B" w:rsidRDefault="00A0324B" w:rsidP="00E62330">
      <w:pPr>
        <w:pStyle w:val="TitleClause"/>
      </w:pPr>
      <w:r>
        <w:fldChar w:fldCharType="begin"/>
      </w:r>
      <w:r>
        <w:instrText>TC "12. Changes to the privacy policy and your duty to inform us of changes" \l 1</w:instrText>
      </w:r>
      <w:r>
        <w:fldChar w:fldCharType="end"/>
      </w:r>
      <w:bookmarkStart w:id="51" w:name="_Toc256000011"/>
      <w:bookmarkStart w:id="52" w:name="a475634"/>
      <w:r>
        <w:t>Changes to the privacy policy and your duty to inform us of changes</w:t>
      </w:r>
      <w:bookmarkEnd w:id="51"/>
      <w:r>
        <w:t xml:space="preserve">  </w:t>
      </w:r>
      <w:bookmarkEnd w:id="52"/>
    </w:p>
    <w:p w14:paraId="77D94F76" w14:textId="5EC64955" w:rsidR="00A0324B" w:rsidRDefault="00A0324B" w:rsidP="00E62330">
      <w:pPr>
        <w:pStyle w:val="NoNumUntitledClause"/>
      </w:pPr>
      <w:bookmarkStart w:id="53" w:name="a324325"/>
      <w:r>
        <w:t xml:space="preserve">We keep our privacy policy under regular review. This version was last updated on </w:t>
      </w:r>
      <w:bookmarkEnd w:id="53"/>
      <w:r w:rsidR="00853FA3">
        <w:t>5</w:t>
      </w:r>
      <w:r w:rsidR="00D21A85">
        <w:t xml:space="preserve"> August 2025.</w:t>
      </w:r>
    </w:p>
    <w:p w14:paraId="77D94F77" w14:textId="77777777" w:rsidR="00A0324B" w:rsidRDefault="00A0324B" w:rsidP="00E62330">
      <w:pPr>
        <w:pStyle w:val="NoNumUntitledClause"/>
      </w:pPr>
      <w:bookmarkStart w:id="54" w:name="a206686"/>
      <w:r>
        <w:t>It is important that the personal data we hold about you is accurate and current. Please keep us informed if your personal data changes during your relationship with us, for example a new address or email address.</w:t>
      </w:r>
      <w:bookmarkEnd w:id="54"/>
    </w:p>
    <w:p w14:paraId="77D94F78" w14:textId="77777777" w:rsidR="00A0324B" w:rsidRDefault="00A0324B" w:rsidP="00E62330">
      <w:pPr>
        <w:pStyle w:val="TitleClause"/>
      </w:pPr>
      <w:r>
        <w:fldChar w:fldCharType="begin"/>
      </w:r>
      <w:r>
        <w:instrText>TC "13. Third-party links" \l 1</w:instrText>
      </w:r>
      <w:r>
        <w:fldChar w:fldCharType="end"/>
      </w:r>
      <w:bookmarkStart w:id="55" w:name="_Toc256000012"/>
      <w:bookmarkStart w:id="56" w:name="a493778"/>
      <w:r>
        <w:t>Third-party links</w:t>
      </w:r>
      <w:bookmarkEnd w:id="55"/>
      <w:r>
        <w:t xml:space="preserve">  </w:t>
      </w:r>
      <w:bookmarkEnd w:id="56"/>
    </w:p>
    <w:p w14:paraId="77D94F79" w14:textId="77777777" w:rsidR="00A0324B" w:rsidRDefault="00A0324B" w:rsidP="00E62330">
      <w:pPr>
        <w:pStyle w:val="NoNumUntitledClause"/>
      </w:pPr>
      <w:bookmarkStart w:id="57" w:name="a165636"/>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57"/>
    </w:p>
    <w:sectPr w:rsidR="00A0324B" w:rsidSect="0052307E">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6083" w14:textId="77777777" w:rsidR="00C45F96" w:rsidRDefault="00C45F96">
      <w:pPr>
        <w:spacing w:after="0" w:line="240" w:lineRule="auto"/>
      </w:pPr>
      <w:r>
        <w:separator/>
      </w:r>
    </w:p>
  </w:endnote>
  <w:endnote w:type="continuationSeparator" w:id="0">
    <w:p w14:paraId="22BF81D3" w14:textId="77777777" w:rsidR="00C45F96" w:rsidRDefault="00C4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4F7A" w14:textId="77777777" w:rsidR="00B36087" w:rsidRDefault="00A0324B">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45F7" w14:textId="77777777" w:rsidR="00C45F96" w:rsidRDefault="00C45F96">
      <w:pPr>
        <w:spacing w:after="0" w:line="240" w:lineRule="auto"/>
      </w:pPr>
      <w:r>
        <w:separator/>
      </w:r>
    </w:p>
  </w:footnote>
  <w:footnote w:type="continuationSeparator" w:id="0">
    <w:p w14:paraId="79B95F99" w14:textId="77777777" w:rsidR="00C45F96" w:rsidRDefault="00C45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ABF434C6">
      <w:start w:val="1"/>
      <w:numFmt w:val="bullet"/>
      <w:pStyle w:val="DefinedTermBullet"/>
      <w:lvlText w:val=""/>
      <w:lvlJc w:val="left"/>
      <w:pPr>
        <w:ind w:left="1440" w:hanging="360"/>
      </w:pPr>
      <w:rPr>
        <w:rFonts w:ascii="Symbol" w:hAnsi="Symbol" w:hint="default"/>
        <w:color w:val="000000"/>
      </w:rPr>
    </w:lvl>
    <w:lvl w:ilvl="1" w:tplc="E2D8252C" w:tentative="1">
      <w:start w:val="1"/>
      <w:numFmt w:val="bullet"/>
      <w:lvlText w:val="o"/>
      <w:lvlJc w:val="left"/>
      <w:pPr>
        <w:ind w:left="2160" w:hanging="360"/>
      </w:pPr>
      <w:rPr>
        <w:rFonts w:ascii="Courier New" w:hAnsi="Courier New" w:cs="Courier New" w:hint="default"/>
      </w:rPr>
    </w:lvl>
    <w:lvl w:ilvl="2" w:tplc="80387F2C" w:tentative="1">
      <w:start w:val="1"/>
      <w:numFmt w:val="bullet"/>
      <w:lvlText w:val=""/>
      <w:lvlJc w:val="left"/>
      <w:pPr>
        <w:ind w:left="2880" w:hanging="360"/>
      </w:pPr>
      <w:rPr>
        <w:rFonts w:ascii="Wingdings" w:hAnsi="Wingdings" w:hint="default"/>
      </w:rPr>
    </w:lvl>
    <w:lvl w:ilvl="3" w:tplc="28A0F04A" w:tentative="1">
      <w:start w:val="1"/>
      <w:numFmt w:val="bullet"/>
      <w:lvlText w:val=""/>
      <w:lvlJc w:val="left"/>
      <w:pPr>
        <w:ind w:left="3600" w:hanging="360"/>
      </w:pPr>
      <w:rPr>
        <w:rFonts w:ascii="Symbol" w:hAnsi="Symbol" w:hint="default"/>
      </w:rPr>
    </w:lvl>
    <w:lvl w:ilvl="4" w:tplc="C9C40EC6" w:tentative="1">
      <w:start w:val="1"/>
      <w:numFmt w:val="bullet"/>
      <w:lvlText w:val="o"/>
      <w:lvlJc w:val="left"/>
      <w:pPr>
        <w:ind w:left="4320" w:hanging="360"/>
      </w:pPr>
      <w:rPr>
        <w:rFonts w:ascii="Courier New" w:hAnsi="Courier New" w:cs="Courier New" w:hint="default"/>
      </w:rPr>
    </w:lvl>
    <w:lvl w:ilvl="5" w:tplc="1792ACD6" w:tentative="1">
      <w:start w:val="1"/>
      <w:numFmt w:val="bullet"/>
      <w:lvlText w:val=""/>
      <w:lvlJc w:val="left"/>
      <w:pPr>
        <w:ind w:left="5040" w:hanging="360"/>
      </w:pPr>
      <w:rPr>
        <w:rFonts w:ascii="Wingdings" w:hAnsi="Wingdings" w:hint="default"/>
      </w:rPr>
    </w:lvl>
    <w:lvl w:ilvl="6" w:tplc="16446CEE" w:tentative="1">
      <w:start w:val="1"/>
      <w:numFmt w:val="bullet"/>
      <w:lvlText w:val=""/>
      <w:lvlJc w:val="left"/>
      <w:pPr>
        <w:ind w:left="5760" w:hanging="360"/>
      </w:pPr>
      <w:rPr>
        <w:rFonts w:ascii="Symbol" w:hAnsi="Symbol" w:hint="default"/>
      </w:rPr>
    </w:lvl>
    <w:lvl w:ilvl="7" w:tplc="4718EFCE" w:tentative="1">
      <w:start w:val="1"/>
      <w:numFmt w:val="bullet"/>
      <w:lvlText w:val="o"/>
      <w:lvlJc w:val="left"/>
      <w:pPr>
        <w:ind w:left="6480" w:hanging="360"/>
      </w:pPr>
      <w:rPr>
        <w:rFonts w:ascii="Courier New" w:hAnsi="Courier New" w:cs="Courier New" w:hint="default"/>
      </w:rPr>
    </w:lvl>
    <w:lvl w:ilvl="8" w:tplc="59DCCF66"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59C2BE10">
      <w:start w:val="1"/>
      <w:numFmt w:val="lowerLetter"/>
      <w:lvlText w:val="%1)"/>
      <w:lvlJc w:val="left"/>
      <w:pPr>
        <w:ind w:left="1714" w:hanging="360"/>
      </w:pPr>
      <w:rPr>
        <w:color w:val="000000"/>
      </w:rPr>
    </w:lvl>
    <w:lvl w:ilvl="1" w:tplc="003E84A4" w:tentative="1">
      <w:start w:val="1"/>
      <w:numFmt w:val="lowerLetter"/>
      <w:lvlText w:val="%2."/>
      <w:lvlJc w:val="left"/>
      <w:pPr>
        <w:ind w:left="2434" w:hanging="360"/>
      </w:pPr>
    </w:lvl>
    <w:lvl w:ilvl="2" w:tplc="F5AEA5B6" w:tentative="1">
      <w:start w:val="1"/>
      <w:numFmt w:val="lowerRoman"/>
      <w:lvlText w:val="%3."/>
      <w:lvlJc w:val="right"/>
      <w:pPr>
        <w:ind w:left="3154" w:hanging="180"/>
      </w:pPr>
    </w:lvl>
    <w:lvl w:ilvl="3" w:tplc="D136BCB6" w:tentative="1">
      <w:start w:val="1"/>
      <w:numFmt w:val="decimal"/>
      <w:lvlText w:val="%4."/>
      <w:lvlJc w:val="left"/>
      <w:pPr>
        <w:ind w:left="3874" w:hanging="360"/>
      </w:pPr>
    </w:lvl>
    <w:lvl w:ilvl="4" w:tplc="0F245F36" w:tentative="1">
      <w:start w:val="1"/>
      <w:numFmt w:val="lowerLetter"/>
      <w:lvlText w:val="%5."/>
      <w:lvlJc w:val="left"/>
      <w:pPr>
        <w:ind w:left="4594" w:hanging="360"/>
      </w:pPr>
    </w:lvl>
    <w:lvl w:ilvl="5" w:tplc="2D1E6522" w:tentative="1">
      <w:start w:val="1"/>
      <w:numFmt w:val="lowerRoman"/>
      <w:lvlText w:val="%6."/>
      <w:lvlJc w:val="right"/>
      <w:pPr>
        <w:ind w:left="5314" w:hanging="180"/>
      </w:pPr>
    </w:lvl>
    <w:lvl w:ilvl="6" w:tplc="5078991C" w:tentative="1">
      <w:start w:val="1"/>
      <w:numFmt w:val="decimal"/>
      <w:lvlText w:val="%7."/>
      <w:lvlJc w:val="left"/>
      <w:pPr>
        <w:ind w:left="6034" w:hanging="360"/>
      </w:pPr>
    </w:lvl>
    <w:lvl w:ilvl="7" w:tplc="7618EEA8" w:tentative="1">
      <w:start w:val="1"/>
      <w:numFmt w:val="lowerLetter"/>
      <w:lvlText w:val="%8."/>
      <w:lvlJc w:val="left"/>
      <w:pPr>
        <w:ind w:left="6754" w:hanging="360"/>
      </w:pPr>
    </w:lvl>
    <w:lvl w:ilvl="8" w:tplc="6824C78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792C0DC0">
      <w:start w:val="1"/>
      <w:numFmt w:val="decimal"/>
      <w:lvlText w:val="Schedule %1"/>
      <w:lvlJc w:val="left"/>
      <w:pPr>
        <w:ind w:left="720" w:hanging="360"/>
      </w:pPr>
      <w:rPr>
        <w:rFonts w:hint="default"/>
        <w:color w:val="000000"/>
      </w:rPr>
    </w:lvl>
    <w:lvl w:ilvl="1" w:tplc="DA3CD3F4" w:tentative="1">
      <w:start w:val="1"/>
      <w:numFmt w:val="lowerLetter"/>
      <w:lvlText w:val="%2."/>
      <w:lvlJc w:val="left"/>
      <w:pPr>
        <w:ind w:left="1440" w:hanging="360"/>
      </w:pPr>
    </w:lvl>
    <w:lvl w:ilvl="2" w:tplc="B0D42544" w:tentative="1">
      <w:start w:val="1"/>
      <w:numFmt w:val="lowerRoman"/>
      <w:lvlText w:val="%3."/>
      <w:lvlJc w:val="right"/>
      <w:pPr>
        <w:ind w:left="2160" w:hanging="180"/>
      </w:pPr>
    </w:lvl>
    <w:lvl w:ilvl="3" w:tplc="F9049D5A" w:tentative="1">
      <w:start w:val="1"/>
      <w:numFmt w:val="decimal"/>
      <w:lvlText w:val="%4."/>
      <w:lvlJc w:val="left"/>
      <w:pPr>
        <w:ind w:left="2880" w:hanging="360"/>
      </w:pPr>
    </w:lvl>
    <w:lvl w:ilvl="4" w:tplc="27E63068" w:tentative="1">
      <w:start w:val="1"/>
      <w:numFmt w:val="lowerLetter"/>
      <w:lvlText w:val="%5."/>
      <w:lvlJc w:val="left"/>
      <w:pPr>
        <w:ind w:left="3600" w:hanging="360"/>
      </w:pPr>
    </w:lvl>
    <w:lvl w:ilvl="5" w:tplc="6570D048" w:tentative="1">
      <w:start w:val="1"/>
      <w:numFmt w:val="lowerRoman"/>
      <w:lvlText w:val="%6."/>
      <w:lvlJc w:val="right"/>
      <w:pPr>
        <w:ind w:left="4320" w:hanging="180"/>
      </w:pPr>
    </w:lvl>
    <w:lvl w:ilvl="6" w:tplc="0826ECC4" w:tentative="1">
      <w:start w:val="1"/>
      <w:numFmt w:val="decimal"/>
      <w:lvlText w:val="%7."/>
      <w:lvlJc w:val="left"/>
      <w:pPr>
        <w:ind w:left="5040" w:hanging="360"/>
      </w:pPr>
    </w:lvl>
    <w:lvl w:ilvl="7" w:tplc="DE6A1D7E" w:tentative="1">
      <w:start w:val="1"/>
      <w:numFmt w:val="lowerLetter"/>
      <w:lvlText w:val="%8."/>
      <w:lvlJc w:val="left"/>
      <w:pPr>
        <w:ind w:left="5760" w:hanging="360"/>
      </w:pPr>
    </w:lvl>
    <w:lvl w:ilvl="8" w:tplc="B7FCCB5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47946844">
      <w:start w:val="1"/>
      <w:numFmt w:val="decimal"/>
      <w:pStyle w:val="ScheduleHeading-Single"/>
      <w:lvlText w:val="Schedule"/>
      <w:lvlJc w:val="left"/>
      <w:pPr>
        <w:tabs>
          <w:tab w:val="num" w:pos="720"/>
        </w:tabs>
        <w:ind w:left="720" w:hanging="720"/>
      </w:pPr>
      <w:rPr>
        <w:color w:val="000000"/>
      </w:rPr>
    </w:lvl>
    <w:lvl w:ilvl="1" w:tplc="91ACFFF8" w:tentative="1">
      <w:start w:val="1"/>
      <w:numFmt w:val="lowerLetter"/>
      <w:lvlText w:val="%2."/>
      <w:lvlJc w:val="left"/>
      <w:pPr>
        <w:tabs>
          <w:tab w:val="num" w:pos="1440"/>
        </w:tabs>
        <w:ind w:left="1440" w:hanging="360"/>
      </w:pPr>
    </w:lvl>
    <w:lvl w:ilvl="2" w:tplc="98B27E12" w:tentative="1">
      <w:start w:val="1"/>
      <w:numFmt w:val="lowerRoman"/>
      <w:lvlText w:val="%3."/>
      <w:lvlJc w:val="right"/>
      <w:pPr>
        <w:tabs>
          <w:tab w:val="num" w:pos="2160"/>
        </w:tabs>
        <w:ind w:left="2160" w:hanging="180"/>
      </w:pPr>
    </w:lvl>
    <w:lvl w:ilvl="3" w:tplc="0D386EF8" w:tentative="1">
      <w:start w:val="1"/>
      <w:numFmt w:val="decimal"/>
      <w:lvlText w:val="%4."/>
      <w:lvlJc w:val="left"/>
      <w:pPr>
        <w:tabs>
          <w:tab w:val="num" w:pos="2880"/>
        </w:tabs>
        <w:ind w:left="2880" w:hanging="360"/>
      </w:pPr>
    </w:lvl>
    <w:lvl w:ilvl="4" w:tplc="8D604072" w:tentative="1">
      <w:start w:val="1"/>
      <w:numFmt w:val="lowerLetter"/>
      <w:lvlText w:val="%5."/>
      <w:lvlJc w:val="left"/>
      <w:pPr>
        <w:tabs>
          <w:tab w:val="num" w:pos="3600"/>
        </w:tabs>
        <w:ind w:left="3600" w:hanging="360"/>
      </w:pPr>
    </w:lvl>
    <w:lvl w:ilvl="5" w:tplc="C8B8CA1A" w:tentative="1">
      <w:start w:val="1"/>
      <w:numFmt w:val="lowerRoman"/>
      <w:lvlText w:val="%6."/>
      <w:lvlJc w:val="right"/>
      <w:pPr>
        <w:tabs>
          <w:tab w:val="num" w:pos="4320"/>
        </w:tabs>
        <w:ind w:left="4320" w:hanging="180"/>
      </w:pPr>
    </w:lvl>
    <w:lvl w:ilvl="6" w:tplc="E01C4206" w:tentative="1">
      <w:start w:val="1"/>
      <w:numFmt w:val="decimal"/>
      <w:lvlText w:val="%7."/>
      <w:lvlJc w:val="left"/>
      <w:pPr>
        <w:tabs>
          <w:tab w:val="num" w:pos="5040"/>
        </w:tabs>
        <w:ind w:left="5040" w:hanging="360"/>
      </w:pPr>
    </w:lvl>
    <w:lvl w:ilvl="7" w:tplc="43B4BAAE" w:tentative="1">
      <w:start w:val="1"/>
      <w:numFmt w:val="lowerLetter"/>
      <w:lvlText w:val="%8."/>
      <w:lvlJc w:val="left"/>
      <w:pPr>
        <w:tabs>
          <w:tab w:val="num" w:pos="5760"/>
        </w:tabs>
        <w:ind w:left="5760" w:hanging="360"/>
      </w:pPr>
    </w:lvl>
    <w:lvl w:ilvl="8" w:tplc="28300B24"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829E6A56">
      <w:start w:val="1"/>
      <w:numFmt w:val="decimal"/>
      <w:lvlText w:val="Part %1"/>
      <w:lvlJc w:val="left"/>
      <w:pPr>
        <w:ind w:left="720" w:hanging="360"/>
      </w:pPr>
      <w:rPr>
        <w:rFonts w:hint="default"/>
        <w:b/>
        <w:i w:val="0"/>
        <w:color w:val="000000"/>
      </w:rPr>
    </w:lvl>
    <w:lvl w:ilvl="1" w:tplc="CF601148" w:tentative="1">
      <w:start w:val="1"/>
      <w:numFmt w:val="lowerLetter"/>
      <w:lvlText w:val="%2."/>
      <w:lvlJc w:val="left"/>
      <w:pPr>
        <w:ind w:left="1440" w:hanging="360"/>
      </w:pPr>
    </w:lvl>
    <w:lvl w:ilvl="2" w:tplc="610A1A84" w:tentative="1">
      <w:start w:val="1"/>
      <w:numFmt w:val="lowerRoman"/>
      <w:lvlText w:val="%3."/>
      <w:lvlJc w:val="right"/>
      <w:pPr>
        <w:ind w:left="2160" w:hanging="180"/>
      </w:pPr>
    </w:lvl>
    <w:lvl w:ilvl="3" w:tplc="88ACD132" w:tentative="1">
      <w:start w:val="1"/>
      <w:numFmt w:val="decimal"/>
      <w:lvlText w:val="%4."/>
      <w:lvlJc w:val="left"/>
      <w:pPr>
        <w:ind w:left="2880" w:hanging="360"/>
      </w:pPr>
    </w:lvl>
    <w:lvl w:ilvl="4" w:tplc="2BFE11E4" w:tentative="1">
      <w:start w:val="1"/>
      <w:numFmt w:val="lowerLetter"/>
      <w:lvlText w:val="%5."/>
      <w:lvlJc w:val="left"/>
      <w:pPr>
        <w:ind w:left="3600" w:hanging="360"/>
      </w:pPr>
    </w:lvl>
    <w:lvl w:ilvl="5" w:tplc="9690ADDA" w:tentative="1">
      <w:start w:val="1"/>
      <w:numFmt w:val="lowerRoman"/>
      <w:lvlText w:val="%6."/>
      <w:lvlJc w:val="right"/>
      <w:pPr>
        <w:ind w:left="4320" w:hanging="180"/>
      </w:pPr>
    </w:lvl>
    <w:lvl w:ilvl="6" w:tplc="FBF8EA46" w:tentative="1">
      <w:start w:val="1"/>
      <w:numFmt w:val="decimal"/>
      <w:lvlText w:val="%7."/>
      <w:lvlJc w:val="left"/>
      <w:pPr>
        <w:ind w:left="5040" w:hanging="360"/>
      </w:pPr>
    </w:lvl>
    <w:lvl w:ilvl="7" w:tplc="1CE4C738" w:tentative="1">
      <w:start w:val="1"/>
      <w:numFmt w:val="lowerLetter"/>
      <w:lvlText w:val="%8."/>
      <w:lvlJc w:val="left"/>
      <w:pPr>
        <w:ind w:left="5760" w:hanging="360"/>
      </w:pPr>
    </w:lvl>
    <w:lvl w:ilvl="8" w:tplc="4F9A4F6A"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0EEAADF4">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04C2CF0E" w:tentative="1">
      <w:start w:val="1"/>
      <w:numFmt w:val="lowerLetter"/>
      <w:lvlText w:val="%2."/>
      <w:lvlJc w:val="left"/>
      <w:pPr>
        <w:ind w:left="1440" w:hanging="360"/>
      </w:pPr>
    </w:lvl>
    <w:lvl w:ilvl="2" w:tplc="DE727C40" w:tentative="1">
      <w:start w:val="1"/>
      <w:numFmt w:val="lowerRoman"/>
      <w:lvlText w:val="%3."/>
      <w:lvlJc w:val="right"/>
      <w:pPr>
        <w:ind w:left="2160" w:hanging="180"/>
      </w:pPr>
    </w:lvl>
    <w:lvl w:ilvl="3" w:tplc="33BAE7E4" w:tentative="1">
      <w:start w:val="1"/>
      <w:numFmt w:val="decimal"/>
      <w:lvlText w:val="%4."/>
      <w:lvlJc w:val="left"/>
      <w:pPr>
        <w:ind w:left="2880" w:hanging="360"/>
      </w:pPr>
    </w:lvl>
    <w:lvl w:ilvl="4" w:tplc="A0D8FD0A" w:tentative="1">
      <w:start w:val="1"/>
      <w:numFmt w:val="lowerLetter"/>
      <w:lvlText w:val="%5."/>
      <w:lvlJc w:val="left"/>
      <w:pPr>
        <w:ind w:left="3600" w:hanging="360"/>
      </w:pPr>
    </w:lvl>
    <w:lvl w:ilvl="5" w:tplc="095A2846" w:tentative="1">
      <w:start w:val="1"/>
      <w:numFmt w:val="lowerRoman"/>
      <w:lvlText w:val="%6."/>
      <w:lvlJc w:val="right"/>
      <w:pPr>
        <w:ind w:left="4320" w:hanging="180"/>
      </w:pPr>
    </w:lvl>
    <w:lvl w:ilvl="6" w:tplc="4DE2522C" w:tentative="1">
      <w:start w:val="1"/>
      <w:numFmt w:val="decimal"/>
      <w:lvlText w:val="%7."/>
      <w:lvlJc w:val="left"/>
      <w:pPr>
        <w:ind w:left="5040" w:hanging="360"/>
      </w:pPr>
    </w:lvl>
    <w:lvl w:ilvl="7" w:tplc="D73E039C" w:tentative="1">
      <w:start w:val="1"/>
      <w:numFmt w:val="lowerLetter"/>
      <w:lvlText w:val="%8."/>
      <w:lvlJc w:val="left"/>
      <w:pPr>
        <w:ind w:left="5760" w:hanging="360"/>
      </w:pPr>
    </w:lvl>
    <w:lvl w:ilvl="8" w:tplc="BD4EF08E"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E872DFDC">
      <w:start w:val="1"/>
      <w:numFmt w:val="decimal"/>
      <w:pStyle w:val="QuestionParagraph"/>
      <w:lvlText w:val="%1."/>
      <w:lvlJc w:val="left"/>
      <w:pPr>
        <w:ind w:left="720" w:hanging="360"/>
      </w:pPr>
      <w:rPr>
        <w:color w:val="000000"/>
      </w:rPr>
    </w:lvl>
    <w:lvl w:ilvl="1" w:tplc="8866281A" w:tentative="1">
      <w:start w:val="1"/>
      <w:numFmt w:val="lowerLetter"/>
      <w:lvlText w:val="%2."/>
      <w:lvlJc w:val="left"/>
      <w:pPr>
        <w:ind w:left="1440" w:hanging="360"/>
      </w:pPr>
    </w:lvl>
    <w:lvl w:ilvl="2" w:tplc="F9804B26" w:tentative="1">
      <w:start w:val="1"/>
      <w:numFmt w:val="lowerRoman"/>
      <w:lvlText w:val="%3."/>
      <w:lvlJc w:val="right"/>
      <w:pPr>
        <w:ind w:left="2160" w:hanging="180"/>
      </w:pPr>
    </w:lvl>
    <w:lvl w:ilvl="3" w:tplc="8954073C" w:tentative="1">
      <w:start w:val="1"/>
      <w:numFmt w:val="decimal"/>
      <w:lvlText w:val="%4."/>
      <w:lvlJc w:val="left"/>
      <w:pPr>
        <w:ind w:left="2880" w:hanging="360"/>
      </w:pPr>
    </w:lvl>
    <w:lvl w:ilvl="4" w:tplc="C8B69032" w:tentative="1">
      <w:start w:val="1"/>
      <w:numFmt w:val="lowerLetter"/>
      <w:lvlText w:val="%5."/>
      <w:lvlJc w:val="left"/>
      <w:pPr>
        <w:ind w:left="3600" w:hanging="360"/>
      </w:pPr>
    </w:lvl>
    <w:lvl w:ilvl="5" w:tplc="6A942F20" w:tentative="1">
      <w:start w:val="1"/>
      <w:numFmt w:val="lowerRoman"/>
      <w:lvlText w:val="%6."/>
      <w:lvlJc w:val="right"/>
      <w:pPr>
        <w:ind w:left="4320" w:hanging="180"/>
      </w:pPr>
    </w:lvl>
    <w:lvl w:ilvl="6" w:tplc="67988C0A" w:tentative="1">
      <w:start w:val="1"/>
      <w:numFmt w:val="decimal"/>
      <w:lvlText w:val="%7."/>
      <w:lvlJc w:val="left"/>
      <w:pPr>
        <w:ind w:left="5040" w:hanging="360"/>
      </w:pPr>
    </w:lvl>
    <w:lvl w:ilvl="7" w:tplc="C5AAA60C" w:tentative="1">
      <w:start w:val="1"/>
      <w:numFmt w:val="lowerLetter"/>
      <w:lvlText w:val="%8."/>
      <w:lvlJc w:val="left"/>
      <w:pPr>
        <w:ind w:left="5760" w:hanging="360"/>
      </w:pPr>
    </w:lvl>
    <w:lvl w:ilvl="8" w:tplc="952C305A"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46941976">
      <w:start w:val="1"/>
      <w:numFmt w:val="bullet"/>
      <w:pStyle w:val="subclause2Bullet2"/>
      <w:lvlText w:val=""/>
      <w:lvlJc w:val="left"/>
      <w:pPr>
        <w:ind w:left="2279" w:hanging="360"/>
      </w:pPr>
      <w:rPr>
        <w:rFonts w:ascii="Symbol" w:hAnsi="Symbol" w:hint="default"/>
        <w:color w:val="000000"/>
      </w:rPr>
    </w:lvl>
    <w:lvl w:ilvl="1" w:tplc="4594A608" w:tentative="1">
      <w:start w:val="1"/>
      <w:numFmt w:val="bullet"/>
      <w:lvlText w:val="o"/>
      <w:lvlJc w:val="left"/>
      <w:pPr>
        <w:ind w:left="2999" w:hanging="360"/>
      </w:pPr>
      <w:rPr>
        <w:rFonts w:ascii="Courier New" w:hAnsi="Courier New" w:cs="Courier New" w:hint="default"/>
      </w:rPr>
    </w:lvl>
    <w:lvl w:ilvl="2" w:tplc="ECA4E318" w:tentative="1">
      <w:start w:val="1"/>
      <w:numFmt w:val="bullet"/>
      <w:lvlText w:val=""/>
      <w:lvlJc w:val="left"/>
      <w:pPr>
        <w:ind w:left="3719" w:hanging="360"/>
      </w:pPr>
      <w:rPr>
        <w:rFonts w:ascii="Wingdings" w:hAnsi="Wingdings" w:hint="default"/>
      </w:rPr>
    </w:lvl>
    <w:lvl w:ilvl="3" w:tplc="C696FDC0" w:tentative="1">
      <w:start w:val="1"/>
      <w:numFmt w:val="bullet"/>
      <w:lvlText w:val=""/>
      <w:lvlJc w:val="left"/>
      <w:pPr>
        <w:ind w:left="4439" w:hanging="360"/>
      </w:pPr>
      <w:rPr>
        <w:rFonts w:ascii="Symbol" w:hAnsi="Symbol" w:hint="default"/>
      </w:rPr>
    </w:lvl>
    <w:lvl w:ilvl="4" w:tplc="4DC61E82" w:tentative="1">
      <w:start w:val="1"/>
      <w:numFmt w:val="bullet"/>
      <w:lvlText w:val="o"/>
      <w:lvlJc w:val="left"/>
      <w:pPr>
        <w:ind w:left="5159" w:hanging="360"/>
      </w:pPr>
      <w:rPr>
        <w:rFonts w:ascii="Courier New" w:hAnsi="Courier New" w:cs="Courier New" w:hint="default"/>
      </w:rPr>
    </w:lvl>
    <w:lvl w:ilvl="5" w:tplc="D8BEAB0C" w:tentative="1">
      <w:start w:val="1"/>
      <w:numFmt w:val="bullet"/>
      <w:lvlText w:val=""/>
      <w:lvlJc w:val="left"/>
      <w:pPr>
        <w:ind w:left="5879" w:hanging="360"/>
      </w:pPr>
      <w:rPr>
        <w:rFonts w:ascii="Wingdings" w:hAnsi="Wingdings" w:hint="default"/>
      </w:rPr>
    </w:lvl>
    <w:lvl w:ilvl="6" w:tplc="95681AC2" w:tentative="1">
      <w:start w:val="1"/>
      <w:numFmt w:val="bullet"/>
      <w:lvlText w:val=""/>
      <w:lvlJc w:val="left"/>
      <w:pPr>
        <w:ind w:left="6599" w:hanging="360"/>
      </w:pPr>
      <w:rPr>
        <w:rFonts w:ascii="Symbol" w:hAnsi="Symbol" w:hint="default"/>
      </w:rPr>
    </w:lvl>
    <w:lvl w:ilvl="7" w:tplc="D43A2DA2" w:tentative="1">
      <w:start w:val="1"/>
      <w:numFmt w:val="bullet"/>
      <w:lvlText w:val="o"/>
      <w:lvlJc w:val="left"/>
      <w:pPr>
        <w:ind w:left="7319" w:hanging="360"/>
      </w:pPr>
      <w:rPr>
        <w:rFonts w:ascii="Courier New" w:hAnsi="Courier New" w:cs="Courier New" w:hint="default"/>
      </w:rPr>
    </w:lvl>
    <w:lvl w:ilvl="8" w:tplc="09BE4330"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296EDF1A">
      <w:start w:val="1"/>
      <w:numFmt w:val="bullet"/>
      <w:pStyle w:val="BulletList2"/>
      <w:lvlText w:val=""/>
      <w:lvlJc w:val="left"/>
      <w:pPr>
        <w:tabs>
          <w:tab w:val="num" w:pos="1077"/>
        </w:tabs>
        <w:ind w:left="1077" w:hanging="357"/>
      </w:pPr>
      <w:rPr>
        <w:rFonts w:ascii="Symbol" w:hAnsi="Symbol" w:hint="default"/>
        <w:color w:val="000000"/>
      </w:rPr>
    </w:lvl>
    <w:lvl w:ilvl="1" w:tplc="893A10AE" w:tentative="1">
      <w:start w:val="1"/>
      <w:numFmt w:val="bullet"/>
      <w:lvlText w:val="o"/>
      <w:lvlJc w:val="left"/>
      <w:pPr>
        <w:tabs>
          <w:tab w:val="num" w:pos="1440"/>
        </w:tabs>
        <w:ind w:left="1440" w:hanging="360"/>
      </w:pPr>
      <w:rPr>
        <w:rFonts w:ascii="Courier New" w:hAnsi="Courier New" w:cs="Courier New" w:hint="default"/>
      </w:rPr>
    </w:lvl>
    <w:lvl w:ilvl="2" w:tplc="66E60398" w:tentative="1">
      <w:start w:val="1"/>
      <w:numFmt w:val="bullet"/>
      <w:lvlText w:val=""/>
      <w:lvlJc w:val="left"/>
      <w:pPr>
        <w:tabs>
          <w:tab w:val="num" w:pos="2160"/>
        </w:tabs>
        <w:ind w:left="2160" w:hanging="360"/>
      </w:pPr>
      <w:rPr>
        <w:rFonts w:ascii="Wingdings" w:hAnsi="Wingdings" w:hint="default"/>
      </w:rPr>
    </w:lvl>
    <w:lvl w:ilvl="3" w:tplc="4EA0D990" w:tentative="1">
      <w:start w:val="1"/>
      <w:numFmt w:val="bullet"/>
      <w:lvlText w:val=""/>
      <w:lvlJc w:val="left"/>
      <w:pPr>
        <w:tabs>
          <w:tab w:val="num" w:pos="2880"/>
        </w:tabs>
        <w:ind w:left="2880" w:hanging="360"/>
      </w:pPr>
      <w:rPr>
        <w:rFonts w:ascii="Symbol" w:hAnsi="Symbol" w:hint="default"/>
      </w:rPr>
    </w:lvl>
    <w:lvl w:ilvl="4" w:tplc="ECE6CAE4" w:tentative="1">
      <w:start w:val="1"/>
      <w:numFmt w:val="bullet"/>
      <w:lvlText w:val="o"/>
      <w:lvlJc w:val="left"/>
      <w:pPr>
        <w:tabs>
          <w:tab w:val="num" w:pos="3600"/>
        </w:tabs>
        <w:ind w:left="3600" w:hanging="360"/>
      </w:pPr>
      <w:rPr>
        <w:rFonts w:ascii="Courier New" w:hAnsi="Courier New" w:cs="Courier New" w:hint="default"/>
      </w:rPr>
    </w:lvl>
    <w:lvl w:ilvl="5" w:tplc="49803DD8" w:tentative="1">
      <w:start w:val="1"/>
      <w:numFmt w:val="bullet"/>
      <w:lvlText w:val=""/>
      <w:lvlJc w:val="left"/>
      <w:pPr>
        <w:tabs>
          <w:tab w:val="num" w:pos="4320"/>
        </w:tabs>
        <w:ind w:left="4320" w:hanging="360"/>
      </w:pPr>
      <w:rPr>
        <w:rFonts w:ascii="Wingdings" w:hAnsi="Wingdings" w:hint="default"/>
      </w:rPr>
    </w:lvl>
    <w:lvl w:ilvl="6" w:tplc="1982ED9C" w:tentative="1">
      <w:start w:val="1"/>
      <w:numFmt w:val="bullet"/>
      <w:lvlText w:val=""/>
      <w:lvlJc w:val="left"/>
      <w:pPr>
        <w:tabs>
          <w:tab w:val="num" w:pos="5040"/>
        </w:tabs>
        <w:ind w:left="5040" w:hanging="360"/>
      </w:pPr>
      <w:rPr>
        <w:rFonts w:ascii="Symbol" w:hAnsi="Symbol" w:hint="default"/>
      </w:rPr>
    </w:lvl>
    <w:lvl w:ilvl="7" w:tplc="3370A9F6" w:tentative="1">
      <w:start w:val="1"/>
      <w:numFmt w:val="bullet"/>
      <w:lvlText w:val="o"/>
      <w:lvlJc w:val="left"/>
      <w:pPr>
        <w:tabs>
          <w:tab w:val="num" w:pos="5760"/>
        </w:tabs>
        <w:ind w:left="5760" w:hanging="360"/>
      </w:pPr>
      <w:rPr>
        <w:rFonts w:ascii="Courier New" w:hAnsi="Courier New" w:cs="Courier New" w:hint="default"/>
      </w:rPr>
    </w:lvl>
    <w:lvl w:ilvl="8" w:tplc="B9B28D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52D06C10">
      <w:start w:val="1"/>
      <w:numFmt w:val="bullet"/>
      <w:pStyle w:val="Bullet4"/>
      <w:lvlText w:val=""/>
      <w:lvlJc w:val="left"/>
      <w:pPr>
        <w:tabs>
          <w:tab w:val="num" w:pos="2676"/>
        </w:tabs>
        <w:ind w:left="2676" w:hanging="357"/>
      </w:pPr>
      <w:rPr>
        <w:rFonts w:ascii="Symbol" w:hAnsi="Symbol" w:hint="default"/>
        <w:color w:val="000000"/>
      </w:rPr>
    </w:lvl>
    <w:lvl w:ilvl="1" w:tplc="2DC8D870" w:tentative="1">
      <w:start w:val="1"/>
      <w:numFmt w:val="bullet"/>
      <w:lvlText w:val="o"/>
      <w:lvlJc w:val="left"/>
      <w:pPr>
        <w:tabs>
          <w:tab w:val="num" w:pos="1440"/>
        </w:tabs>
        <w:ind w:left="1440" w:hanging="360"/>
      </w:pPr>
      <w:rPr>
        <w:rFonts w:ascii="Courier New" w:hAnsi="Courier New" w:cs="Courier New" w:hint="default"/>
      </w:rPr>
    </w:lvl>
    <w:lvl w:ilvl="2" w:tplc="FDAC69EA" w:tentative="1">
      <w:start w:val="1"/>
      <w:numFmt w:val="bullet"/>
      <w:lvlText w:val=""/>
      <w:lvlJc w:val="left"/>
      <w:pPr>
        <w:tabs>
          <w:tab w:val="num" w:pos="2160"/>
        </w:tabs>
        <w:ind w:left="2160" w:hanging="360"/>
      </w:pPr>
      <w:rPr>
        <w:rFonts w:ascii="Wingdings" w:hAnsi="Wingdings" w:hint="default"/>
      </w:rPr>
    </w:lvl>
    <w:lvl w:ilvl="3" w:tplc="8ED28B3E" w:tentative="1">
      <w:start w:val="1"/>
      <w:numFmt w:val="bullet"/>
      <w:lvlText w:val=""/>
      <w:lvlJc w:val="left"/>
      <w:pPr>
        <w:tabs>
          <w:tab w:val="num" w:pos="2880"/>
        </w:tabs>
        <w:ind w:left="2880" w:hanging="360"/>
      </w:pPr>
      <w:rPr>
        <w:rFonts w:ascii="Symbol" w:hAnsi="Symbol" w:hint="default"/>
      </w:rPr>
    </w:lvl>
    <w:lvl w:ilvl="4" w:tplc="4656DB64" w:tentative="1">
      <w:start w:val="1"/>
      <w:numFmt w:val="bullet"/>
      <w:lvlText w:val="o"/>
      <w:lvlJc w:val="left"/>
      <w:pPr>
        <w:tabs>
          <w:tab w:val="num" w:pos="3600"/>
        </w:tabs>
        <w:ind w:left="3600" w:hanging="360"/>
      </w:pPr>
      <w:rPr>
        <w:rFonts w:ascii="Courier New" w:hAnsi="Courier New" w:cs="Courier New" w:hint="default"/>
      </w:rPr>
    </w:lvl>
    <w:lvl w:ilvl="5" w:tplc="0D444806" w:tentative="1">
      <w:start w:val="1"/>
      <w:numFmt w:val="bullet"/>
      <w:lvlText w:val=""/>
      <w:lvlJc w:val="left"/>
      <w:pPr>
        <w:tabs>
          <w:tab w:val="num" w:pos="4320"/>
        </w:tabs>
        <w:ind w:left="4320" w:hanging="360"/>
      </w:pPr>
      <w:rPr>
        <w:rFonts w:ascii="Wingdings" w:hAnsi="Wingdings" w:hint="default"/>
      </w:rPr>
    </w:lvl>
    <w:lvl w:ilvl="6" w:tplc="687A8986" w:tentative="1">
      <w:start w:val="1"/>
      <w:numFmt w:val="bullet"/>
      <w:lvlText w:val=""/>
      <w:lvlJc w:val="left"/>
      <w:pPr>
        <w:tabs>
          <w:tab w:val="num" w:pos="5040"/>
        </w:tabs>
        <w:ind w:left="5040" w:hanging="360"/>
      </w:pPr>
      <w:rPr>
        <w:rFonts w:ascii="Symbol" w:hAnsi="Symbol" w:hint="default"/>
      </w:rPr>
    </w:lvl>
    <w:lvl w:ilvl="7" w:tplc="44DE82BC" w:tentative="1">
      <w:start w:val="1"/>
      <w:numFmt w:val="bullet"/>
      <w:lvlText w:val="o"/>
      <w:lvlJc w:val="left"/>
      <w:pPr>
        <w:tabs>
          <w:tab w:val="num" w:pos="5760"/>
        </w:tabs>
        <w:ind w:left="5760" w:hanging="360"/>
      </w:pPr>
      <w:rPr>
        <w:rFonts w:ascii="Courier New" w:hAnsi="Courier New" w:cs="Courier New" w:hint="default"/>
      </w:rPr>
    </w:lvl>
    <w:lvl w:ilvl="8" w:tplc="0C6E3F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83F274FA">
      <w:start w:val="1"/>
      <w:numFmt w:val="bullet"/>
      <w:pStyle w:val="ClauseBullet2"/>
      <w:lvlText w:val=""/>
      <w:lvlJc w:val="left"/>
      <w:pPr>
        <w:ind w:left="1440" w:hanging="360"/>
      </w:pPr>
      <w:rPr>
        <w:rFonts w:ascii="Symbol" w:hAnsi="Symbol" w:hint="default"/>
        <w:color w:val="000000"/>
      </w:rPr>
    </w:lvl>
    <w:lvl w:ilvl="1" w:tplc="2E74932E" w:tentative="1">
      <w:start w:val="1"/>
      <w:numFmt w:val="bullet"/>
      <w:lvlText w:val="o"/>
      <w:lvlJc w:val="left"/>
      <w:pPr>
        <w:ind w:left="2160" w:hanging="360"/>
      </w:pPr>
      <w:rPr>
        <w:rFonts w:ascii="Courier New" w:hAnsi="Courier New" w:cs="Courier New" w:hint="default"/>
      </w:rPr>
    </w:lvl>
    <w:lvl w:ilvl="2" w:tplc="FA5435AC" w:tentative="1">
      <w:start w:val="1"/>
      <w:numFmt w:val="bullet"/>
      <w:lvlText w:val=""/>
      <w:lvlJc w:val="left"/>
      <w:pPr>
        <w:ind w:left="2880" w:hanging="360"/>
      </w:pPr>
      <w:rPr>
        <w:rFonts w:ascii="Wingdings" w:hAnsi="Wingdings" w:hint="default"/>
      </w:rPr>
    </w:lvl>
    <w:lvl w:ilvl="3" w:tplc="818EA4B0" w:tentative="1">
      <w:start w:val="1"/>
      <w:numFmt w:val="bullet"/>
      <w:lvlText w:val=""/>
      <w:lvlJc w:val="left"/>
      <w:pPr>
        <w:ind w:left="3600" w:hanging="360"/>
      </w:pPr>
      <w:rPr>
        <w:rFonts w:ascii="Symbol" w:hAnsi="Symbol" w:hint="default"/>
      </w:rPr>
    </w:lvl>
    <w:lvl w:ilvl="4" w:tplc="8CEA6712" w:tentative="1">
      <w:start w:val="1"/>
      <w:numFmt w:val="bullet"/>
      <w:lvlText w:val="o"/>
      <w:lvlJc w:val="left"/>
      <w:pPr>
        <w:ind w:left="4320" w:hanging="360"/>
      </w:pPr>
      <w:rPr>
        <w:rFonts w:ascii="Courier New" w:hAnsi="Courier New" w:cs="Courier New" w:hint="default"/>
      </w:rPr>
    </w:lvl>
    <w:lvl w:ilvl="5" w:tplc="AAE229FA" w:tentative="1">
      <w:start w:val="1"/>
      <w:numFmt w:val="bullet"/>
      <w:lvlText w:val=""/>
      <w:lvlJc w:val="left"/>
      <w:pPr>
        <w:ind w:left="5040" w:hanging="360"/>
      </w:pPr>
      <w:rPr>
        <w:rFonts w:ascii="Wingdings" w:hAnsi="Wingdings" w:hint="default"/>
      </w:rPr>
    </w:lvl>
    <w:lvl w:ilvl="6" w:tplc="BB3C92F4" w:tentative="1">
      <w:start w:val="1"/>
      <w:numFmt w:val="bullet"/>
      <w:lvlText w:val=""/>
      <w:lvlJc w:val="left"/>
      <w:pPr>
        <w:ind w:left="5760" w:hanging="360"/>
      </w:pPr>
      <w:rPr>
        <w:rFonts w:ascii="Symbol" w:hAnsi="Symbol" w:hint="default"/>
      </w:rPr>
    </w:lvl>
    <w:lvl w:ilvl="7" w:tplc="0C7EA906" w:tentative="1">
      <w:start w:val="1"/>
      <w:numFmt w:val="bullet"/>
      <w:lvlText w:val="o"/>
      <w:lvlJc w:val="left"/>
      <w:pPr>
        <w:ind w:left="6480" w:hanging="360"/>
      </w:pPr>
      <w:rPr>
        <w:rFonts w:ascii="Courier New" w:hAnsi="Courier New" w:cs="Courier New" w:hint="default"/>
      </w:rPr>
    </w:lvl>
    <w:lvl w:ilvl="8" w:tplc="F4BC6208"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6FC66468">
      <w:start w:val="1"/>
      <w:numFmt w:val="bullet"/>
      <w:lvlText w:val=""/>
      <w:lvlJc w:val="left"/>
      <w:pPr>
        <w:ind w:left="720" w:hanging="360"/>
      </w:pPr>
      <w:rPr>
        <w:rFonts w:ascii="Symbol" w:hAnsi="Symbol" w:hint="default"/>
        <w:color w:val="000000"/>
      </w:rPr>
    </w:lvl>
    <w:lvl w:ilvl="1" w:tplc="87623B6A" w:tentative="1">
      <w:start w:val="1"/>
      <w:numFmt w:val="bullet"/>
      <w:lvlText w:val="o"/>
      <w:lvlJc w:val="left"/>
      <w:pPr>
        <w:ind w:left="1440" w:hanging="360"/>
      </w:pPr>
      <w:rPr>
        <w:rFonts w:ascii="Courier New" w:hAnsi="Courier New" w:cs="Courier New" w:hint="default"/>
      </w:rPr>
    </w:lvl>
    <w:lvl w:ilvl="2" w:tplc="E35E4800" w:tentative="1">
      <w:start w:val="1"/>
      <w:numFmt w:val="bullet"/>
      <w:lvlText w:val=""/>
      <w:lvlJc w:val="left"/>
      <w:pPr>
        <w:ind w:left="2160" w:hanging="360"/>
      </w:pPr>
      <w:rPr>
        <w:rFonts w:ascii="Wingdings" w:hAnsi="Wingdings" w:hint="default"/>
      </w:rPr>
    </w:lvl>
    <w:lvl w:ilvl="3" w:tplc="9C5CE32C" w:tentative="1">
      <w:start w:val="1"/>
      <w:numFmt w:val="bullet"/>
      <w:lvlText w:val=""/>
      <w:lvlJc w:val="left"/>
      <w:pPr>
        <w:ind w:left="2880" w:hanging="360"/>
      </w:pPr>
      <w:rPr>
        <w:rFonts w:ascii="Symbol" w:hAnsi="Symbol" w:hint="default"/>
      </w:rPr>
    </w:lvl>
    <w:lvl w:ilvl="4" w:tplc="B0D0A232" w:tentative="1">
      <w:start w:val="1"/>
      <w:numFmt w:val="bullet"/>
      <w:lvlText w:val="o"/>
      <w:lvlJc w:val="left"/>
      <w:pPr>
        <w:ind w:left="3600" w:hanging="360"/>
      </w:pPr>
      <w:rPr>
        <w:rFonts w:ascii="Courier New" w:hAnsi="Courier New" w:cs="Courier New" w:hint="default"/>
      </w:rPr>
    </w:lvl>
    <w:lvl w:ilvl="5" w:tplc="F226494A" w:tentative="1">
      <w:start w:val="1"/>
      <w:numFmt w:val="bullet"/>
      <w:lvlText w:val=""/>
      <w:lvlJc w:val="left"/>
      <w:pPr>
        <w:ind w:left="4320" w:hanging="360"/>
      </w:pPr>
      <w:rPr>
        <w:rFonts w:ascii="Wingdings" w:hAnsi="Wingdings" w:hint="default"/>
      </w:rPr>
    </w:lvl>
    <w:lvl w:ilvl="6" w:tplc="F4AABF24" w:tentative="1">
      <w:start w:val="1"/>
      <w:numFmt w:val="bullet"/>
      <w:lvlText w:val=""/>
      <w:lvlJc w:val="left"/>
      <w:pPr>
        <w:ind w:left="5040" w:hanging="360"/>
      </w:pPr>
      <w:rPr>
        <w:rFonts w:ascii="Symbol" w:hAnsi="Symbol" w:hint="default"/>
      </w:rPr>
    </w:lvl>
    <w:lvl w:ilvl="7" w:tplc="71BA8434" w:tentative="1">
      <w:start w:val="1"/>
      <w:numFmt w:val="bullet"/>
      <w:lvlText w:val="o"/>
      <w:lvlJc w:val="left"/>
      <w:pPr>
        <w:ind w:left="5760" w:hanging="360"/>
      </w:pPr>
      <w:rPr>
        <w:rFonts w:ascii="Courier New" w:hAnsi="Courier New" w:cs="Courier New" w:hint="default"/>
      </w:rPr>
    </w:lvl>
    <w:lvl w:ilvl="8" w:tplc="6414CF6E"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BE7421E8">
      <w:start w:val="1"/>
      <w:numFmt w:val="bullet"/>
      <w:pStyle w:val="subclause1Bullet2"/>
      <w:lvlText w:val=""/>
      <w:lvlJc w:val="left"/>
      <w:pPr>
        <w:ind w:left="1440" w:hanging="360"/>
      </w:pPr>
      <w:rPr>
        <w:rFonts w:ascii="Symbol" w:hAnsi="Symbol" w:hint="default"/>
        <w:color w:val="000000"/>
      </w:rPr>
    </w:lvl>
    <w:lvl w:ilvl="1" w:tplc="1C1E17A6" w:tentative="1">
      <w:start w:val="1"/>
      <w:numFmt w:val="bullet"/>
      <w:lvlText w:val="o"/>
      <w:lvlJc w:val="left"/>
      <w:pPr>
        <w:ind w:left="2160" w:hanging="360"/>
      </w:pPr>
      <w:rPr>
        <w:rFonts w:ascii="Courier New" w:hAnsi="Courier New" w:cs="Courier New" w:hint="default"/>
      </w:rPr>
    </w:lvl>
    <w:lvl w:ilvl="2" w:tplc="BE62588E" w:tentative="1">
      <w:start w:val="1"/>
      <w:numFmt w:val="bullet"/>
      <w:lvlText w:val=""/>
      <w:lvlJc w:val="left"/>
      <w:pPr>
        <w:ind w:left="2880" w:hanging="360"/>
      </w:pPr>
      <w:rPr>
        <w:rFonts w:ascii="Wingdings" w:hAnsi="Wingdings" w:hint="default"/>
      </w:rPr>
    </w:lvl>
    <w:lvl w:ilvl="3" w:tplc="BD341082" w:tentative="1">
      <w:start w:val="1"/>
      <w:numFmt w:val="bullet"/>
      <w:lvlText w:val=""/>
      <w:lvlJc w:val="left"/>
      <w:pPr>
        <w:ind w:left="3600" w:hanging="360"/>
      </w:pPr>
      <w:rPr>
        <w:rFonts w:ascii="Symbol" w:hAnsi="Symbol" w:hint="default"/>
      </w:rPr>
    </w:lvl>
    <w:lvl w:ilvl="4" w:tplc="9800B84C" w:tentative="1">
      <w:start w:val="1"/>
      <w:numFmt w:val="bullet"/>
      <w:lvlText w:val="o"/>
      <w:lvlJc w:val="left"/>
      <w:pPr>
        <w:ind w:left="4320" w:hanging="360"/>
      </w:pPr>
      <w:rPr>
        <w:rFonts w:ascii="Courier New" w:hAnsi="Courier New" w:cs="Courier New" w:hint="default"/>
      </w:rPr>
    </w:lvl>
    <w:lvl w:ilvl="5" w:tplc="ECDC4550" w:tentative="1">
      <w:start w:val="1"/>
      <w:numFmt w:val="bullet"/>
      <w:lvlText w:val=""/>
      <w:lvlJc w:val="left"/>
      <w:pPr>
        <w:ind w:left="5040" w:hanging="360"/>
      </w:pPr>
      <w:rPr>
        <w:rFonts w:ascii="Wingdings" w:hAnsi="Wingdings" w:hint="default"/>
      </w:rPr>
    </w:lvl>
    <w:lvl w:ilvl="6" w:tplc="8CAABA02" w:tentative="1">
      <w:start w:val="1"/>
      <w:numFmt w:val="bullet"/>
      <w:lvlText w:val=""/>
      <w:lvlJc w:val="left"/>
      <w:pPr>
        <w:ind w:left="5760" w:hanging="360"/>
      </w:pPr>
      <w:rPr>
        <w:rFonts w:ascii="Symbol" w:hAnsi="Symbol" w:hint="default"/>
      </w:rPr>
    </w:lvl>
    <w:lvl w:ilvl="7" w:tplc="7B7A9E86" w:tentative="1">
      <w:start w:val="1"/>
      <w:numFmt w:val="bullet"/>
      <w:lvlText w:val="o"/>
      <w:lvlJc w:val="left"/>
      <w:pPr>
        <w:ind w:left="6480" w:hanging="360"/>
      </w:pPr>
      <w:rPr>
        <w:rFonts w:ascii="Courier New" w:hAnsi="Courier New" w:cs="Courier New" w:hint="default"/>
      </w:rPr>
    </w:lvl>
    <w:lvl w:ilvl="8" w:tplc="FAE48646"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FE06E12A">
      <w:start w:val="1"/>
      <w:numFmt w:val="bullet"/>
      <w:pStyle w:val="subclause3Bullet1"/>
      <w:lvlText w:val=""/>
      <w:lvlJc w:val="left"/>
      <w:pPr>
        <w:ind w:left="2988" w:hanging="360"/>
      </w:pPr>
      <w:rPr>
        <w:rFonts w:ascii="Symbol" w:hAnsi="Symbol" w:hint="default"/>
        <w:color w:val="000000"/>
      </w:rPr>
    </w:lvl>
    <w:lvl w:ilvl="1" w:tplc="8FA2BE36" w:tentative="1">
      <w:start w:val="1"/>
      <w:numFmt w:val="bullet"/>
      <w:lvlText w:val="o"/>
      <w:lvlJc w:val="left"/>
      <w:pPr>
        <w:ind w:left="3708" w:hanging="360"/>
      </w:pPr>
      <w:rPr>
        <w:rFonts w:ascii="Courier New" w:hAnsi="Courier New" w:cs="Courier New" w:hint="default"/>
      </w:rPr>
    </w:lvl>
    <w:lvl w:ilvl="2" w:tplc="B93CDE94" w:tentative="1">
      <w:start w:val="1"/>
      <w:numFmt w:val="bullet"/>
      <w:lvlText w:val=""/>
      <w:lvlJc w:val="left"/>
      <w:pPr>
        <w:ind w:left="4428" w:hanging="360"/>
      </w:pPr>
      <w:rPr>
        <w:rFonts w:ascii="Wingdings" w:hAnsi="Wingdings" w:hint="default"/>
      </w:rPr>
    </w:lvl>
    <w:lvl w:ilvl="3" w:tplc="7D8247E4" w:tentative="1">
      <w:start w:val="1"/>
      <w:numFmt w:val="bullet"/>
      <w:lvlText w:val=""/>
      <w:lvlJc w:val="left"/>
      <w:pPr>
        <w:ind w:left="5148" w:hanging="360"/>
      </w:pPr>
      <w:rPr>
        <w:rFonts w:ascii="Symbol" w:hAnsi="Symbol" w:hint="default"/>
      </w:rPr>
    </w:lvl>
    <w:lvl w:ilvl="4" w:tplc="8E224FC6" w:tentative="1">
      <w:start w:val="1"/>
      <w:numFmt w:val="bullet"/>
      <w:lvlText w:val="o"/>
      <w:lvlJc w:val="left"/>
      <w:pPr>
        <w:ind w:left="5868" w:hanging="360"/>
      </w:pPr>
      <w:rPr>
        <w:rFonts w:ascii="Courier New" w:hAnsi="Courier New" w:cs="Courier New" w:hint="default"/>
      </w:rPr>
    </w:lvl>
    <w:lvl w:ilvl="5" w:tplc="E6889B04" w:tentative="1">
      <w:start w:val="1"/>
      <w:numFmt w:val="bullet"/>
      <w:lvlText w:val=""/>
      <w:lvlJc w:val="left"/>
      <w:pPr>
        <w:ind w:left="6588" w:hanging="360"/>
      </w:pPr>
      <w:rPr>
        <w:rFonts w:ascii="Wingdings" w:hAnsi="Wingdings" w:hint="default"/>
      </w:rPr>
    </w:lvl>
    <w:lvl w:ilvl="6" w:tplc="58F4136C" w:tentative="1">
      <w:start w:val="1"/>
      <w:numFmt w:val="bullet"/>
      <w:lvlText w:val=""/>
      <w:lvlJc w:val="left"/>
      <w:pPr>
        <w:ind w:left="7308" w:hanging="360"/>
      </w:pPr>
      <w:rPr>
        <w:rFonts w:ascii="Symbol" w:hAnsi="Symbol" w:hint="default"/>
      </w:rPr>
    </w:lvl>
    <w:lvl w:ilvl="7" w:tplc="90D6C872" w:tentative="1">
      <w:start w:val="1"/>
      <w:numFmt w:val="bullet"/>
      <w:lvlText w:val="o"/>
      <w:lvlJc w:val="left"/>
      <w:pPr>
        <w:ind w:left="8028" w:hanging="360"/>
      </w:pPr>
      <w:rPr>
        <w:rFonts w:ascii="Courier New" w:hAnsi="Courier New" w:cs="Courier New" w:hint="default"/>
      </w:rPr>
    </w:lvl>
    <w:lvl w:ilvl="8" w:tplc="7932D482"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662AE0CC">
      <w:start w:val="1"/>
      <w:numFmt w:val="bullet"/>
      <w:pStyle w:val="subclause2Bullet1"/>
      <w:lvlText w:val=""/>
      <w:lvlJc w:val="left"/>
      <w:pPr>
        <w:ind w:left="2279" w:hanging="360"/>
      </w:pPr>
      <w:rPr>
        <w:rFonts w:ascii="Symbol" w:hAnsi="Symbol" w:hint="default"/>
        <w:color w:val="000000"/>
      </w:rPr>
    </w:lvl>
    <w:lvl w:ilvl="1" w:tplc="AF6E9EE0" w:tentative="1">
      <w:start w:val="1"/>
      <w:numFmt w:val="bullet"/>
      <w:lvlText w:val="o"/>
      <w:lvlJc w:val="left"/>
      <w:pPr>
        <w:ind w:left="2999" w:hanging="360"/>
      </w:pPr>
      <w:rPr>
        <w:rFonts w:ascii="Courier New" w:hAnsi="Courier New" w:cs="Courier New" w:hint="default"/>
      </w:rPr>
    </w:lvl>
    <w:lvl w:ilvl="2" w:tplc="A59830F4" w:tentative="1">
      <w:start w:val="1"/>
      <w:numFmt w:val="bullet"/>
      <w:lvlText w:val=""/>
      <w:lvlJc w:val="left"/>
      <w:pPr>
        <w:ind w:left="3719" w:hanging="360"/>
      </w:pPr>
      <w:rPr>
        <w:rFonts w:ascii="Wingdings" w:hAnsi="Wingdings" w:hint="default"/>
      </w:rPr>
    </w:lvl>
    <w:lvl w:ilvl="3" w:tplc="61C43C3E" w:tentative="1">
      <w:start w:val="1"/>
      <w:numFmt w:val="bullet"/>
      <w:lvlText w:val=""/>
      <w:lvlJc w:val="left"/>
      <w:pPr>
        <w:ind w:left="4439" w:hanging="360"/>
      </w:pPr>
      <w:rPr>
        <w:rFonts w:ascii="Symbol" w:hAnsi="Symbol" w:hint="default"/>
      </w:rPr>
    </w:lvl>
    <w:lvl w:ilvl="4" w:tplc="76B440E0" w:tentative="1">
      <w:start w:val="1"/>
      <w:numFmt w:val="bullet"/>
      <w:lvlText w:val="o"/>
      <w:lvlJc w:val="left"/>
      <w:pPr>
        <w:ind w:left="5159" w:hanging="360"/>
      </w:pPr>
      <w:rPr>
        <w:rFonts w:ascii="Courier New" w:hAnsi="Courier New" w:cs="Courier New" w:hint="default"/>
      </w:rPr>
    </w:lvl>
    <w:lvl w:ilvl="5" w:tplc="23F498AC" w:tentative="1">
      <w:start w:val="1"/>
      <w:numFmt w:val="bullet"/>
      <w:lvlText w:val=""/>
      <w:lvlJc w:val="left"/>
      <w:pPr>
        <w:ind w:left="5879" w:hanging="360"/>
      </w:pPr>
      <w:rPr>
        <w:rFonts w:ascii="Wingdings" w:hAnsi="Wingdings" w:hint="default"/>
      </w:rPr>
    </w:lvl>
    <w:lvl w:ilvl="6" w:tplc="64D836EC" w:tentative="1">
      <w:start w:val="1"/>
      <w:numFmt w:val="bullet"/>
      <w:lvlText w:val=""/>
      <w:lvlJc w:val="left"/>
      <w:pPr>
        <w:ind w:left="6599" w:hanging="360"/>
      </w:pPr>
      <w:rPr>
        <w:rFonts w:ascii="Symbol" w:hAnsi="Symbol" w:hint="default"/>
      </w:rPr>
    </w:lvl>
    <w:lvl w:ilvl="7" w:tplc="7EB8BEFC" w:tentative="1">
      <w:start w:val="1"/>
      <w:numFmt w:val="bullet"/>
      <w:lvlText w:val="o"/>
      <w:lvlJc w:val="left"/>
      <w:pPr>
        <w:ind w:left="7319" w:hanging="360"/>
      </w:pPr>
      <w:rPr>
        <w:rFonts w:ascii="Courier New" w:hAnsi="Courier New" w:cs="Courier New" w:hint="default"/>
      </w:rPr>
    </w:lvl>
    <w:lvl w:ilvl="8" w:tplc="6A1296A4"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68ECB10A">
      <w:start w:val="1"/>
      <w:numFmt w:val="bullet"/>
      <w:pStyle w:val="subclause1Bullet1"/>
      <w:lvlText w:val=""/>
      <w:lvlJc w:val="left"/>
      <w:pPr>
        <w:ind w:left="1440" w:hanging="360"/>
      </w:pPr>
      <w:rPr>
        <w:rFonts w:ascii="Symbol" w:hAnsi="Symbol" w:hint="default"/>
        <w:color w:val="000000"/>
      </w:rPr>
    </w:lvl>
    <w:lvl w:ilvl="1" w:tplc="5B60C7BA" w:tentative="1">
      <w:start w:val="1"/>
      <w:numFmt w:val="bullet"/>
      <w:lvlText w:val="o"/>
      <w:lvlJc w:val="left"/>
      <w:pPr>
        <w:ind w:left="2160" w:hanging="360"/>
      </w:pPr>
      <w:rPr>
        <w:rFonts w:ascii="Courier New" w:hAnsi="Courier New" w:cs="Courier New" w:hint="default"/>
      </w:rPr>
    </w:lvl>
    <w:lvl w:ilvl="2" w:tplc="A43C0CCA" w:tentative="1">
      <w:start w:val="1"/>
      <w:numFmt w:val="bullet"/>
      <w:lvlText w:val=""/>
      <w:lvlJc w:val="left"/>
      <w:pPr>
        <w:ind w:left="2880" w:hanging="360"/>
      </w:pPr>
      <w:rPr>
        <w:rFonts w:ascii="Wingdings" w:hAnsi="Wingdings" w:hint="default"/>
      </w:rPr>
    </w:lvl>
    <w:lvl w:ilvl="3" w:tplc="0030AA50" w:tentative="1">
      <w:start w:val="1"/>
      <w:numFmt w:val="bullet"/>
      <w:lvlText w:val=""/>
      <w:lvlJc w:val="left"/>
      <w:pPr>
        <w:ind w:left="3600" w:hanging="360"/>
      </w:pPr>
      <w:rPr>
        <w:rFonts w:ascii="Symbol" w:hAnsi="Symbol" w:hint="default"/>
      </w:rPr>
    </w:lvl>
    <w:lvl w:ilvl="4" w:tplc="58E6F53A" w:tentative="1">
      <w:start w:val="1"/>
      <w:numFmt w:val="bullet"/>
      <w:lvlText w:val="o"/>
      <w:lvlJc w:val="left"/>
      <w:pPr>
        <w:ind w:left="4320" w:hanging="360"/>
      </w:pPr>
      <w:rPr>
        <w:rFonts w:ascii="Courier New" w:hAnsi="Courier New" w:cs="Courier New" w:hint="default"/>
      </w:rPr>
    </w:lvl>
    <w:lvl w:ilvl="5" w:tplc="43D6EE82" w:tentative="1">
      <w:start w:val="1"/>
      <w:numFmt w:val="bullet"/>
      <w:lvlText w:val=""/>
      <w:lvlJc w:val="left"/>
      <w:pPr>
        <w:ind w:left="5040" w:hanging="360"/>
      </w:pPr>
      <w:rPr>
        <w:rFonts w:ascii="Wingdings" w:hAnsi="Wingdings" w:hint="default"/>
      </w:rPr>
    </w:lvl>
    <w:lvl w:ilvl="6" w:tplc="7B26F706" w:tentative="1">
      <w:start w:val="1"/>
      <w:numFmt w:val="bullet"/>
      <w:lvlText w:val=""/>
      <w:lvlJc w:val="left"/>
      <w:pPr>
        <w:ind w:left="5760" w:hanging="360"/>
      </w:pPr>
      <w:rPr>
        <w:rFonts w:ascii="Symbol" w:hAnsi="Symbol" w:hint="default"/>
      </w:rPr>
    </w:lvl>
    <w:lvl w:ilvl="7" w:tplc="40926FFE" w:tentative="1">
      <w:start w:val="1"/>
      <w:numFmt w:val="bullet"/>
      <w:lvlText w:val="o"/>
      <w:lvlJc w:val="left"/>
      <w:pPr>
        <w:ind w:left="6480" w:hanging="360"/>
      </w:pPr>
      <w:rPr>
        <w:rFonts w:ascii="Courier New" w:hAnsi="Courier New" w:cs="Courier New" w:hint="default"/>
      </w:rPr>
    </w:lvl>
    <w:lvl w:ilvl="8" w:tplc="BB2ABA20"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09F8CB52">
      <w:start w:val="1"/>
      <w:numFmt w:val="decimal"/>
      <w:pStyle w:val="LongQuestionPara"/>
      <w:lvlText w:val="%1."/>
      <w:lvlJc w:val="left"/>
      <w:pPr>
        <w:ind w:left="360" w:hanging="360"/>
      </w:pPr>
      <w:rPr>
        <w:rFonts w:hint="default"/>
        <w:b/>
        <w:i w:val="0"/>
        <w:color w:val="000000"/>
        <w:sz w:val="24"/>
      </w:rPr>
    </w:lvl>
    <w:lvl w:ilvl="1" w:tplc="9BCEDA1C" w:tentative="1">
      <w:start w:val="1"/>
      <w:numFmt w:val="lowerLetter"/>
      <w:lvlText w:val="%2."/>
      <w:lvlJc w:val="left"/>
      <w:pPr>
        <w:ind w:left="1440" w:hanging="360"/>
      </w:pPr>
    </w:lvl>
    <w:lvl w:ilvl="2" w:tplc="1C16F416" w:tentative="1">
      <w:start w:val="1"/>
      <w:numFmt w:val="lowerRoman"/>
      <w:lvlText w:val="%3."/>
      <w:lvlJc w:val="right"/>
      <w:pPr>
        <w:ind w:left="2160" w:hanging="180"/>
      </w:pPr>
    </w:lvl>
    <w:lvl w:ilvl="3" w:tplc="A4B4029A" w:tentative="1">
      <w:start w:val="1"/>
      <w:numFmt w:val="decimal"/>
      <w:lvlText w:val="%4."/>
      <w:lvlJc w:val="left"/>
      <w:pPr>
        <w:ind w:left="2880" w:hanging="360"/>
      </w:pPr>
    </w:lvl>
    <w:lvl w:ilvl="4" w:tplc="31284EF4" w:tentative="1">
      <w:start w:val="1"/>
      <w:numFmt w:val="lowerLetter"/>
      <w:lvlText w:val="%5."/>
      <w:lvlJc w:val="left"/>
      <w:pPr>
        <w:ind w:left="3600" w:hanging="360"/>
      </w:pPr>
    </w:lvl>
    <w:lvl w:ilvl="5" w:tplc="4AE251D0" w:tentative="1">
      <w:start w:val="1"/>
      <w:numFmt w:val="lowerRoman"/>
      <w:lvlText w:val="%6."/>
      <w:lvlJc w:val="right"/>
      <w:pPr>
        <w:ind w:left="4320" w:hanging="180"/>
      </w:pPr>
    </w:lvl>
    <w:lvl w:ilvl="6" w:tplc="F5E02A12" w:tentative="1">
      <w:start w:val="1"/>
      <w:numFmt w:val="decimal"/>
      <w:lvlText w:val="%7."/>
      <w:lvlJc w:val="left"/>
      <w:pPr>
        <w:ind w:left="5040" w:hanging="360"/>
      </w:pPr>
    </w:lvl>
    <w:lvl w:ilvl="7" w:tplc="57782F2E" w:tentative="1">
      <w:start w:val="1"/>
      <w:numFmt w:val="lowerLetter"/>
      <w:lvlText w:val="%8."/>
      <w:lvlJc w:val="left"/>
      <w:pPr>
        <w:ind w:left="5760" w:hanging="360"/>
      </w:pPr>
    </w:lvl>
    <w:lvl w:ilvl="8" w:tplc="84FAE46E"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AEF8E668">
      <w:start w:val="1"/>
      <w:numFmt w:val="lowerLetter"/>
      <w:lvlText w:val="(%1)"/>
      <w:lvlJc w:val="left"/>
      <w:pPr>
        <w:ind w:left="1440" w:hanging="360"/>
      </w:pPr>
      <w:rPr>
        <w:rFonts w:hint="default"/>
        <w:color w:val="000000"/>
      </w:rPr>
    </w:lvl>
    <w:lvl w:ilvl="1" w:tplc="B49EBCB2" w:tentative="1">
      <w:start w:val="1"/>
      <w:numFmt w:val="lowerLetter"/>
      <w:lvlText w:val="%2."/>
      <w:lvlJc w:val="left"/>
      <w:pPr>
        <w:ind w:left="2160" w:hanging="360"/>
      </w:pPr>
    </w:lvl>
    <w:lvl w:ilvl="2" w:tplc="ACB674CA" w:tentative="1">
      <w:start w:val="1"/>
      <w:numFmt w:val="lowerRoman"/>
      <w:lvlText w:val="%3."/>
      <w:lvlJc w:val="right"/>
      <w:pPr>
        <w:ind w:left="2880" w:hanging="180"/>
      </w:pPr>
    </w:lvl>
    <w:lvl w:ilvl="3" w:tplc="F8DA87C4" w:tentative="1">
      <w:start w:val="1"/>
      <w:numFmt w:val="decimal"/>
      <w:lvlText w:val="%4."/>
      <w:lvlJc w:val="left"/>
      <w:pPr>
        <w:ind w:left="3600" w:hanging="360"/>
      </w:pPr>
    </w:lvl>
    <w:lvl w:ilvl="4" w:tplc="D00E4206" w:tentative="1">
      <w:start w:val="1"/>
      <w:numFmt w:val="lowerLetter"/>
      <w:lvlText w:val="%5."/>
      <w:lvlJc w:val="left"/>
      <w:pPr>
        <w:ind w:left="4320" w:hanging="360"/>
      </w:pPr>
    </w:lvl>
    <w:lvl w:ilvl="5" w:tplc="44C6EC58" w:tentative="1">
      <w:start w:val="1"/>
      <w:numFmt w:val="lowerRoman"/>
      <w:lvlText w:val="%6."/>
      <w:lvlJc w:val="right"/>
      <w:pPr>
        <w:ind w:left="5040" w:hanging="180"/>
      </w:pPr>
    </w:lvl>
    <w:lvl w:ilvl="6" w:tplc="96E8C9F2" w:tentative="1">
      <w:start w:val="1"/>
      <w:numFmt w:val="decimal"/>
      <w:lvlText w:val="%7."/>
      <w:lvlJc w:val="left"/>
      <w:pPr>
        <w:ind w:left="5760" w:hanging="360"/>
      </w:pPr>
    </w:lvl>
    <w:lvl w:ilvl="7" w:tplc="F37EB360" w:tentative="1">
      <w:start w:val="1"/>
      <w:numFmt w:val="lowerLetter"/>
      <w:lvlText w:val="%8."/>
      <w:lvlJc w:val="left"/>
      <w:pPr>
        <w:ind w:left="6480" w:hanging="360"/>
      </w:pPr>
    </w:lvl>
    <w:lvl w:ilvl="8" w:tplc="EA988AE0"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5B4E400A">
      <w:start w:val="1"/>
      <w:numFmt w:val="bullet"/>
      <w:pStyle w:val="ClauseBullet1"/>
      <w:lvlText w:val=""/>
      <w:lvlJc w:val="left"/>
      <w:pPr>
        <w:ind w:left="1080" w:hanging="360"/>
      </w:pPr>
      <w:rPr>
        <w:rFonts w:ascii="Symbol" w:hAnsi="Symbol" w:hint="default"/>
        <w:color w:val="000000"/>
      </w:rPr>
    </w:lvl>
    <w:lvl w:ilvl="1" w:tplc="1308A084" w:tentative="1">
      <w:start w:val="1"/>
      <w:numFmt w:val="bullet"/>
      <w:lvlText w:val="o"/>
      <w:lvlJc w:val="left"/>
      <w:pPr>
        <w:ind w:left="1800" w:hanging="360"/>
      </w:pPr>
      <w:rPr>
        <w:rFonts w:ascii="Courier New" w:hAnsi="Courier New" w:cs="Courier New" w:hint="default"/>
      </w:rPr>
    </w:lvl>
    <w:lvl w:ilvl="2" w:tplc="70166C74" w:tentative="1">
      <w:start w:val="1"/>
      <w:numFmt w:val="bullet"/>
      <w:lvlText w:val=""/>
      <w:lvlJc w:val="left"/>
      <w:pPr>
        <w:ind w:left="2520" w:hanging="360"/>
      </w:pPr>
      <w:rPr>
        <w:rFonts w:ascii="Wingdings" w:hAnsi="Wingdings" w:hint="default"/>
      </w:rPr>
    </w:lvl>
    <w:lvl w:ilvl="3" w:tplc="1564DA1E" w:tentative="1">
      <w:start w:val="1"/>
      <w:numFmt w:val="bullet"/>
      <w:lvlText w:val=""/>
      <w:lvlJc w:val="left"/>
      <w:pPr>
        <w:ind w:left="3240" w:hanging="360"/>
      </w:pPr>
      <w:rPr>
        <w:rFonts w:ascii="Symbol" w:hAnsi="Symbol" w:hint="default"/>
      </w:rPr>
    </w:lvl>
    <w:lvl w:ilvl="4" w:tplc="649C479C" w:tentative="1">
      <w:start w:val="1"/>
      <w:numFmt w:val="bullet"/>
      <w:lvlText w:val="o"/>
      <w:lvlJc w:val="left"/>
      <w:pPr>
        <w:ind w:left="3960" w:hanging="360"/>
      </w:pPr>
      <w:rPr>
        <w:rFonts w:ascii="Courier New" w:hAnsi="Courier New" w:cs="Courier New" w:hint="default"/>
      </w:rPr>
    </w:lvl>
    <w:lvl w:ilvl="5" w:tplc="AC56034A" w:tentative="1">
      <w:start w:val="1"/>
      <w:numFmt w:val="bullet"/>
      <w:lvlText w:val=""/>
      <w:lvlJc w:val="left"/>
      <w:pPr>
        <w:ind w:left="4680" w:hanging="360"/>
      </w:pPr>
      <w:rPr>
        <w:rFonts w:ascii="Wingdings" w:hAnsi="Wingdings" w:hint="default"/>
      </w:rPr>
    </w:lvl>
    <w:lvl w:ilvl="6" w:tplc="800019DE" w:tentative="1">
      <w:start w:val="1"/>
      <w:numFmt w:val="bullet"/>
      <w:lvlText w:val=""/>
      <w:lvlJc w:val="left"/>
      <w:pPr>
        <w:ind w:left="5400" w:hanging="360"/>
      </w:pPr>
      <w:rPr>
        <w:rFonts w:ascii="Symbol" w:hAnsi="Symbol" w:hint="default"/>
      </w:rPr>
    </w:lvl>
    <w:lvl w:ilvl="7" w:tplc="CEFC3174" w:tentative="1">
      <w:start w:val="1"/>
      <w:numFmt w:val="bullet"/>
      <w:lvlText w:val="o"/>
      <w:lvlJc w:val="left"/>
      <w:pPr>
        <w:ind w:left="6120" w:hanging="360"/>
      </w:pPr>
      <w:rPr>
        <w:rFonts w:ascii="Courier New" w:hAnsi="Courier New" w:cs="Courier New" w:hint="default"/>
      </w:rPr>
    </w:lvl>
    <w:lvl w:ilvl="8" w:tplc="9B72D69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C65C4414">
      <w:start w:val="1"/>
      <w:numFmt w:val="bullet"/>
      <w:pStyle w:val="subclause3Bullet2"/>
      <w:lvlText w:val=""/>
      <w:lvlJc w:val="left"/>
      <w:pPr>
        <w:ind w:left="3748" w:hanging="360"/>
      </w:pPr>
      <w:rPr>
        <w:rFonts w:ascii="Symbol" w:hAnsi="Symbol" w:hint="default"/>
        <w:color w:val="000000"/>
      </w:rPr>
    </w:lvl>
    <w:lvl w:ilvl="1" w:tplc="10725964" w:tentative="1">
      <w:start w:val="1"/>
      <w:numFmt w:val="bullet"/>
      <w:lvlText w:val="o"/>
      <w:lvlJc w:val="left"/>
      <w:pPr>
        <w:ind w:left="4468" w:hanging="360"/>
      </w:pPr>
      <w:rPr>
        <w:rFonts w:ascii="Courier New" w:hAnsi="Courier New" w:cs="Courier New" w:hint="default"/>
      </w:rPr>
    </w:lvl>
    <w:lvl w:ilvl="2" w:tplc="EA904910" w:tentative="1">
      <w:start w:val="1"/>
      <w:numFmt w:val="bullet"/>
      <w:lvlText w:val=""/>
      <w:lvlJc w:val="left"/>
      <w:pPr>
        <w:ind w:left="5188" w:hanging="360"/>
      </w:pPr>
      <w:rPr>
        <w:rFonts w:ascii="Wingdings" w:hAnsi="Wingdings" w:hint="default"/>
      </w:rPr>
    </w:lvl>
    <w:lvl w:ilvl="3" w:tplc="664841D2" w:tentative="1">
      <w:start w:val="1"/>
      <w:numFmt w:val="bullet"/>
      <w:lvlText w:val=""/>
      <w:lvlJc w:val="left"/>
      <w:pPr>
        <w:ind w:left="5908" w:hanging="360"/>
      </w:pPr>
      <w:rPr>
        <w:rFonts w:ascii="Symbol" w:hAnsi="Symbol" w:hint="default"/>
      </w:rPr>
    </w:lvl>
    <w:lvl w:ilvl="4" w:tplc="6582B544" w:tentative="1">
      <w:start w:val="1"/>
      <w:numFmt w:val="bullet"/>
      <w:lvlText w:val="o"/>
      <w:lvlJc w:val="left"/>
      <w:pPr>
        <w:ind w:left="6628" w:hanging="360"/>
      </w:pPr>
      <w:rPr>
        <w:rFonts w:ascii="Courier New" w:hAnsi="Courier New" w:cs="Courier New" w:hint="default"/>
      </w:rPr>
    </w:lvl>
    <w:lvl w:ilvl="5" w:tplc="9A7882FC" w:tentative="1">
      <w:start w:val="1"/>
      <w:numFmt w:val="bullet"/>
      <w:lvlText w:val=""/>
      <w:lvlJc w:val="left"/>
      <w:pPr>
        <w:ind w:left="7348" w:hanging="360"/>
      </w:pPr>
      <w:rPr>
        <w:rFonts w:ascii="Wingdings" w:hAnsi="Wingdings" w:hint="default"/>
      </w:rPr>
    </w:lvl>
    <w:lvl w:ilvl="6" w:tplc="5CC4425C" w:tentative="1">
      <w:start w:val="1"/>
      <w:numFmt w:val="bullet"/>
      <w:lvlText w:val=""/>
      <w:lvlJc w:val="left"/>
      <w:pPr>
        <w:ind w:left="8068" w:hanging="360"/>
      </w:pPr>
      <w:rPr>
        <w:rFonts w:ascii="Symbol" w:hAnsi="Symbol" w:hint="default"/>
      </w:rPr>
    </w:lvl>
    <w:lvl w:ilvl="7" w:tplc="1ED05D9A" w:tentative="1">
      <w:start w:val="1"/>
      <w:numFmt w:val="bullet"/>
      <w:lvlText w:val="o"/>
      <w:lvlJc w:val="left"/>
      <w:pPr>
        <w:ind w:left="8788" w:hanging="360"/>
      </w:pPr>
      <w:rPr>
        <w:rFonts w:ascii="Courier New" w:hAnsi="Courier New" w:cs="Courier New" w:hint="default"/>
      </w:rPr>
    </w:lvl>
    <w:lvl w:ilvl="8" w:tplc="5B705B9E"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51E0746E">
      <w:start w:val="1"/>
      <w:numFmt w:val="bullet"/>
      <w:pStyle w:val="BulletList1"/>
      <w:lvlText w:val="·"/>
      <w:lvlJc w:val="left"/>
      <w:pPr>
        <w:tabs>
          <w:tab w:val="num" w:pos="360"/>
        </w:tabs>
        <w:ind w:left="360" w:hanging="360"/>
      </w:pPr>
      <w:rPr>
        <w:rFonts w:ascii="Symbol" w:hAnsi="Symbol" w:hint="default"/>
        <w:color w:val="000000"/>
      </w:rPr>
    </w:lvl>
    <w:lvl w:ilvl="1" w:tplc="0C52FA28" w:tentative="1">
      <w:start w:val="1"/>
      <w:numFmt w:val="bullet"/>
      <w:lvlText w:val="·"/>
      <w:lvlJc w:val="left"/>
      <w:pPr>
        <w:tabs>
          <w:tab w:val="num" w:pos="1440"/>
        </w:tabs>
        <w:ind w:left="1440" w:hanging="360"/>
      </w:pPr>
      <w:rPr>
        <w:rFonts w:ascii="Symbol" w:hAnsi="Symbol" w:hint="default"/>
      </w:rPr>
    </w:lvl>
    <w:lvl w:ilvl="2" w:tplc="7B32C1FE" w:tentative="1">
      <w:start w:val="1"/>
      <w:numFmt w:val="bullet"/>
      <w:lvlText w:val="·"/>
      <w:lvlJc w:val="left"/>
      <w:pPr>
        <w:tabs>
          <w:tab w:val="num" w:pos="2160"/>
        </w:tabs>
        <w:ind w:left="2160" w:hanging="360"/>
      </w:pPr>
      <w:rPr>
        <w:rFonts w:ascii="Symbol" w:hAnsi="Symbol" w:hint="default"/>
      </w:rPr>
    </w:lvl>
    <w:lvl w:ilvl="3" w:tplc="B09ABB1A" w:tentative="1">
      <w:start w:val="1"/>
      <w:numFmt w:val="bullet"/>
      <w:lvlText w:val="·"/>
      <w:lvlJc w:val="left"/>
      <w:pPr>
        <w:tabs>
          <w:tab w:val="num" w:pos="2880"/>
        </w:tabs>
        <w:ind w:left="2880" w:hanging="360"/>
      </w:pPr>
      <w:rPr>
        <w:rFonts w:ascii="Symbol" w:hAnsi="Symbol" w:hint="default"/>
      </w:rPr>
    </w:lvl>
    <w:lvl w:ilvl="4" w:tplc="73B8CBCC" w:tentative="1">
      <w:start w:val="1"/>
      <w:numFmt w:val="bullet"/>
      <w:lvlText w:val="o"/>
      <w:lvlJc w:val="left"/>
      <w:pPr>
        <w:tabs>
          <w:tab w:val="num" w:pos="3600"/>
        </w:tabs>
        <w:ind w:left="3600" w:hanging="360"/>
      </w:pPr>
      <w:rPr>
        <w:rFonts w:ascii="Courier New" w:hAnsi="Courier New" w:hint="default"/>
      </w:rPr>
    </w:lvl>
    <w:lvl w:ilvl="5" w:tplc="10B8CC4C" w:tentative="1">
      <w:start w:val="1"/>
      <w:numFmt w:val="bullet"/>
      <w:lvlText w:val="§"/>
      <w:lvlJc w:val="left"/>
      <w:pPr>
        <w:tabs>
          <w:tab w:val="num" w:pos="4320"/>
        </w:tabs>
        <w:ind w:left="4320" w:hanging="360"/>
      </w:pPr>
      <w:rPr>
        <w:rFonts w:ascii="Wingdings" w:hAnsi="Wingdings" w:hint="default"/>
      </w:rPr>
    </w:lvl>
    <w:lvl w:ilvl="6" w:tplc="F612DC10" w:tentative="1">
      <w:start w:val="1"/>
      <w:numFmt w:val="bullet"/>
      <w:lvlText w:val="·"/>
      <w:lvlJc w:val="left"/>
      <w:pPr>
        <w:tabs>
          <w:tab w:val="num" w:pos="5040"/>
        </w:tabs>
        <w:ind w:left="5040" w:hanging="360"/>
      </w:pPr>
      <w:rPr>
        <w:rFonts w:ascii="Symbol" w:hAnsi="Symbol" w:hint="default"/>
      </w:rPr>
    </w:lvl>
    <w:lvl w:ilvl="7" w:tplc="CB32D054" w:tentative="1">
      <w:start w:val="1"/>
      <w:numFmt w:val="bullet"/>
      <w:lvlText w:val="o"/>
      <w:lvlJc w:val="left"/>
      <w:pPr>
        <w:tabs>
          <w:tab w:val="num" w:pos="5760"/>
        </w:tabs>
        <w:ind w:left="5760" w:hanging="360"/>
      </w:pPr>
      <w:rPr>
        <w:rFonts w:ascii="Courier New" w:hAnsi="Courier New" w:hint="default"/>
      </w:rPr>
    </w:lvl>
    <w:lvl w:ilvl="8" w:tplc="BC5A44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363C02A8">
      <w:start w:val="1"/>
      <w:numFmt w:val="decimal"/>
      <w:lvlText w:val="%1."/>
      <w:lvlJc w:val="left"/>
      <w:pPr>
        <w:ind w:left="1440" w:hanging="360"/>
      </w:pPr>
      <w:rPr>
        <w:color w:val="000000"/>
      </w:rPr>
    </w:lvl>
    <w:lvl w:ilvl="1" w:tplc="2AAA3E50" w:tentative="1">
      <w:start w:val="1"/>
      <w:numFmt w:val="lowerLetter"/>
      <w:lvlText w:val="%2."/>
      <w:lvlJc w:val="left"/>
      <w:pPr>
        <w:ind w:left="2160" w:hanging="360"/>
      </w:pPr>
    </w:lvl>
    <w:lvl w:ilvl="2" w:tplc="16B0AE06" w:tentative="1">
      <w:start w:val="1"/>
      <w:numFmt w:val="lowerRoman"/>
      <w:lvlText w:val="%3."/>
      <w:lvlJc w:val="right"/>
      <w:pPr>
        <w:ind w:left="2880" w:hanging="180"/>
      </w:pPr>
    </w:lvl>
    <w:lvl w:ilvl="3" w:tplc="9B385C72" w:tentative="1">
      <w:start w:val="1"/>
      <w:numFmt w:val="decimal"/>
      <w:lvlText w:val="%4."/>
      <w:lvlJc w:val="left"/>
      <w:pPr>
        <w:ind w:left="3600" w:hanging="360"/>
      </w:pPr>
    </w:lvl>
    <w:lvl w:ilvl="4" w:tplc="13482284" w:tentative="1">
      <w:start w:val="1"/>
      <w:numFmt w:val="lowerLetter"/>
      <w:lvlText w:val="%5."/>
      <w:lvlJc w:val="left"/>
      <w:pPr>
        <w:ind w:left="4320" w:hanging="360"/>
      </w:pPr>
    </w:lvl>
    <w:lvl w:ilvl="5" w:tplc="90BAC882" w:tentative="1">
      <w:start w:val="1"/>
      <w:numFmt w:val="lowerRoman"/>
      <w:lvlText w:val="%6."/>
      <w:lvlJc w:val="right"/>
      <w:pPr>
        <w:ind w:left="5040" w:hanging="180"/>
      </w:pPr>
    </w:lvl>
    <w:lvl w:ilvl="6" w:tplc="E110C1D4" w:tentative="1">
      <w:start w:val="1"/>
      <w:numFmt w:val="decimal"/>
      <w:lvlText w:val="%7."/>
      <w:lvlJc w:val="left"/>
      <w:pPr>
        <w:ind w:left="5760" w:hanging="360"/>
      </w:pPr>
    </w:lvl>
    <w:lvl w:ilvl="7" w:tplc="7C9E42DA" w:tentative="1">
      <w:start w:val="1"/>
      <w:numFmt w:val="lowerLetter"/>
      <w:lvlText w:val="%8."/>
      <w:lvlJc w:val="left"/>
      <w:pPr>
        <w:ind w:left="6480" w:hanging="360"/>
      </w:pPr>
    </w:lvl>
    <w:lvl w:ilvl="8" w:tplc="04440E60"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0B88B51C">
      <w:start w:val="1"/>
      <w:numFmt w:val="bullet"/>
      <w:pStyle w:val="BulletList3"/>
      <w:lvlText w:val=""/>
      <w:lvlJc w:val="left"/>
      <w:pPr>
        <w:tabs>
          <w:tab w:val="num" w:pos="1945"/>
        </w:tabs>
        <w:ind w:left="1945" w:hanging="357"/>
      </w:pPr>
      <w:rPr>
        <w:rFonts w:ascii="Symbol" w:hAnsi="Symbol" w:hint="default"/>
        <w:color w:val="000000"/>
      </w:rPr>
    </w:lvl>
    <w:lvl w:ilvl="1" w:tplc="7B4ED254" w:tentative="1">
      <w:start w:val="1"/>
      <w:numFmt w:val="bullet"/>
      <w:lvlText w:val="o"/>
      <w:lvlJc w:val="left"/>
      <w:pPr>
        <w:tabs>
          <w:tab w:val="num" w:pos="1440"/>
        </w:tabs>
        <w:ind w:left="1440" w:hanging="360"/>
      </w:pPr>
      <w:rPr>
        <w:rFonts w:ascii="Courier New" w:hAnsi="Courier New" w:cs="Courier New" w:hint="default"/>
      </w:rPr>
    </w:lvl>
    <w:lvl w:ilvl="2" w:tplc="9684BB96" w:tentative="1">
      <w:start w:val="1"/>
      <w:numFmt w:val="bullet"/>
      <w:lvlText w:val=""/>
      <w:lvlJc w:val="left"/>
      <w:pPr>
        <w:tabs>
          <w:tab w:val="num" w:pos="2160"/>
        </w:tabs>
        <w:ind w:left="2160" w:hanging="360"/>
      </w:pPr>
      <w:rPr>
        <w:rFonts w:ascii="Wingdings" w:hAnsi="Wingdings" w:hint="default"/>
      </w:rPr>
    </w:lvl>
    <w:lvl w:ilvl="3" w:tplc="EF52B4BA" w:tentative="1">
      <w:start w:val="1"/>
      <w:numFmt w:val="bullet"/>
      <w:lvlText w:val=""/>
      <w:lvlJc w:val="left"/>
      <w:pPr>
        <w:tabs>
          <w:tab w:val="num" w:pos="2880"/>
        </w:tabs>
        <w:ind w:left="2880" w:hanging="360"/>
      </w:pPr>
      <w:rPr>
        <w:rFonts w:ascii="Symbol" w:hAnsi="Symbol" w:hint="default"/>
      </w:rPr>
    </w:lvl>
    <w:lvl w:ilvl="4" w:tplc="ED1A9E30" w:tentative="1">
      <w:start w:val="1"/>
      <w:numFmt w:val="bullet"/>
      <w:lvlText w:val="o"/>
      <w:lvlJc w:val="left"/>
      <w:pPr>
        <w:tabs>
          <w:tab w:val="num" w:pos="3600"/>
        </w:tabs>
        <w:ind w:left="3600" w:hanging="360"/>
      </w:pPr>
      <w:rPr>
        <w:rFonts w:ascii="Courier New" w:hAnsi="Courier New" w:cs="Courier New" w:hint="default"/>
      </w:rPr>
    </w:lvl>
    <w:lvl w:ilvl="5" w:tplc="263075A2" w:tentative="1">
      <w:start w:val="1"/>
      <w:numFmt w:val="bullet"/>
      <w:lvlText w:val=""/>
      <w:lvlJc w:val="left"/>
      <w:pPr>
        <w:tabs>
          <w:tab w:val="num" w:pos="4320"/>
        </w:tabs>
        <w:ind w:left="4320" w:hanging="360"/>
      </w:pPr>
      <w:rPr>
        <w:rFonts w:ascii="Wingdings" w:hAnsi="Wingdings" w:hint="default"/>
      </w:rPr>
    </w:lvl>
    <w:lvl w:ilvl="6" w:tplc="61D8188C" w:tentative="1">
      <w:start w:val="1"/>
      <w:numFmt w:val="bullet"/>
      <w:lvlText w:val=""/>
      <w:lvlJc w:val="left"/>
      <w:pPr>
        <w:tabs>
          <w:tab w:val="num" w:pos="5040"/>
        </w:tabs>
        <w:ind w:left="5040" w:hanging="360"/>
      </w:pPr>
      <w:rPr>
        <w:rFonts w:ascii="Symbol" w:hAnsi="Symbol" w:hint="default"/>
      </w:rPr>
    </w:lvl>
    <w:lvl w:ilvl="7" w:tplc="F78AEB5C" w:tentative="1">
      <w:start w:val="1"/>
      <w:numFmt w:val="bullet"/>
      <w:lvlText w:val="o"/>
      <w:lvlJc w:val="left"/>
      <w:pPr>
        <w:tabs>
          <w:tab w:val="num" w:pos="5760"/>
        </w:tabs>
        <w:ind w:left="5760" w:hanging="360"/>
      </w:pPr>
      <w:rPr>
        <w:rFonts w:ascii="Courier New" w:hAnsi="Courier New" w:cs="Courier New" w:hint="default"/>
      </w:rPr>
    </w:lvl>
    <w:lvl w:ilvl="8" w:tplc="E06662FC" w:tentative="1">
      <w:start w:val="1"/>
      <w:numFmt w:val="bullet"/>
      <w:lvlText w:val=""/>
      <w:lvlJc w:val="left"/>
      <w:pPr>
        <w:tabs>
          <w:tab w:val="num" w:pos="6480"/>
        </w:tabs>
        <w:ind w:left="6480" w:hanging="360"/>
      </w:pPr>
      <w:rPr>
        <w:rFonts w:ascii="Wingdings" w:hAnsi="Wingdings" w:hint="default"/>
      </w:rPr>
    </w:lvl>
  </w:abstractNum>
  <w:num w:numId="1" w16cid:durableId="2107188353">
    <w:abstractNumId w:val="36"/>
  </w:num>
  <w:num w:numId="2" w16cid:durableId="1116948727">
    <w:abstractNumId w:val="37"/>
  </w:num>
  <w:num w:numId="3" w16cid:durableId="232931343">
    <w:abstractNumId w:val="22"/>
  </w:num>
  <w:num w:numId="4" w16cid:durableId="1812820665">
    <w:abstractNumId w:val="42"/>
  </w:num>
  <w:num w:numId="5" w16cid:durableId="1110247536">
    <w:abstractNumId w:val="39"/>
  </w:num>
  <w:num w:numId="6" w16cid:durableId="652488833">
    <w:abstractNumId w:val="16"/>
  </w:num>
  <w:num w:numId="7" w16cid:durableId="229586398">
    <w:abstractNumId w:val="24"/>
  </w:num>
  <w:num w:numId="8" w16cid:durableId="1968661778">
    <w:abstractNumId w:val="23"/>
  </w:num>
  <w:num w:numId="9" w16cid:durableId="532691539">
    <w:abstractNumId w:val="20"/>
  </w:num>
  <w:num w:numId="10" w16cid:durableId="1612974092">
    <w:abstractNumId w:val="32"/>
  </w:num>
  <w:num w:numId="11" w16cid:durableId="603073063">
    <w:abstractNumId w:val="19"/>
  </w:num>
  <w:num w:numId="12" w16cid:durableId="903442896">
    <w:abstractNumId w:val="31"/>
  </w:num>
  <w:num w:numId="13" w16cid:durableId="1513687557">
    <w:abstractNumId w:val="34"/>
  </w:num>
  <w:num w:numId="14" w16cid:durableId="1734963407">
    <w:abstractNumId w:val="25"/>
  </w:num>
  <w:num w:numId="15" w16cid:durableId="482741824">
    <w:abstractNumId w:val="30"/>
  </w:num>
  <w:num w:numId="16" w16cid:durableId="750928741">
    <w:abstractNumId w:val="28"/>
  </w:num>
  <w:num w:numId="17" w16cid:durableId="947662262">
    <w:abstractNumId w:val="29"/>
  </w:num>
  <w:num w:numId="18" w16cid:durableId="1546409170">
    <w:abstractNumId w:val="27"/>
  </w:num>
  <w:num w:numId="19" w16cid:durableId="1697846368">
    <w:abstractNumId w:val="21"/>
  </w:num>
  <w:num w:numId="20" w16cid:durableId="1435398290">
    <w:abstractNumId w:val="35"/>
  </w:num>
  <w:num w:numId="21" w16cid:durableId="418722642">
    <w:abstractNumId w:val="11"/>
  </w:num>
  <w:num w:numId="22" w16cid:durableId="933905562">
    <w:abstractNumId w:val="14"/>
  </w:num>
  <w:num w:numId="23" w16cid:durableId="1068771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051326">
    <w:abstractNumId w:val="38"/>
  </w:num>
  <w:num w:numId="25" w16cid:durableId="1702247826">
    <w:abstractNumId w:val="40"/>
  </w:num>
  <w:num w:numId="26" w16cid:durableId="1826193336">
    <w:abstractNumId w:val="15"/>
  </w:num>
  <w:num w:numId="27" w16cid:durableId="1412388809">
    <w:abstractNumId w:val="18"/>
  </w:num>
  <w:num w:numId="28" w16cid:durableId="1464276878">
    <w:abstractNumId w:val="33"/>
  </w:num>
  <w:num w:numId="29" w16cid:durableId="2086682693">
    <w:abstractNumId w:val="9"/>
  </w:num>
  <w:num w:numId="30" w16cid:durableId="246427730">
    <w:abstractNumId w:val="7"/>
  </w:num>
  <w:num w:numId="31" w16cid:durableId="1659113521">
    <w:abstractNumId w:val="6"/>
  </w:num>
  <w:num w:numId="32" w16cid:durableId="584611691">
    <w:abstractNumId w:val="5"/>
  </w:num>
  <w:num w:numId="33" w16cid:durableId="1518427009">
    <w:abstractNumId w:val="4"/>
  </w:num>
  <w:num w:numId="34" w16cid:durableId="580992438">
    <w:abstractNumId w:val="8"/>
  </w:num>
  <w:num w:numId="35" w16cid:durableId="222721489">
    <w:abstractNumId w:val="3"/>
  </w:num>
  <w:num w:numId="36" w16cid:durableId="546259660">
    <w:abstractNumId w:val="2"/>
  </w:num>
  <w:num w:numId="37" w16cid:durableId="218251905">
    <w:abstractNumId w:val="1"/>
  </w:num>
  <w:num w:numId="38" w16cid:durableId="1327201304">
    <w:abstractNumId w:val="0"/>
  </w:num>
  <w:num w:numId="39" w16cid:durableId="2029119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6879910">
    <w:abstractNumId w:val="13"/>
  </w:num>
  <w:num w:numId="41" w16cid:durableId="1957055661">
    <w:abstractNumId w:val="10"/>
  </w:num>
  <w:num w:numId="42" w16cid:durableId="1596858704">
    <w:abstractNumId w:val="41"/>
  </w:num>
  <w:num w:numId="43" w16cid:durableId="1168209978">
    <w:abstractNumId w:val="12"/>
  </w:num>
  <w:num w:numId="44" w16cid:durableId="859511373">
    <w:abstractNumId w:val="17"/>
  </w:num>
  <w:num w:numId="45" w16cid:durableId="14843917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508FC868-7B26-40DA-A6F3-56A234176530}"/>
  </w:docVars>
  <w:rsids>
    <w:rsidRoot w:val="00B36087"/>
    <w:rsid w:val="000437C6"/>
    <w:rsid w:val="00111D74"/>
    <w:rsid w:val="00144BB5"/>
    <w:rsid w:val="00423369"/>
    <w:rsid w:val="004A5862"/>
    <w:rsid w:val="004F7EBC"/>
    <w:rsid w:val="00513539"/>
    <w:rsid w:val="006E7965"/>
    <w:rsid w:val="00853FA3"/>
    <w:rsid w:val="00A0324B"/>
    <w:rsid w:val="00A66F33"/>
    <w:rsid w:val="00AD2BDA"/>
    <w:rsid w:val="00B36087"/>
    <w:rsid w:val="00B67DCF"/>
    <w:rsid w:val="00C45F96"/>
    <w:rsid w:val="00C914AC"/>
    <w:rsid w:val="00D21A85"/>
    <w:rsid w:val="00F15187"/>
    <w:rsid w:val="00F23251"/>
    <w:rsid w:val="00F4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4E7B"/>
  <w15:docId w15:val="{42BE5BC0-5A47-4000-8199-3DFCDBDA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07E"/>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52307E"/>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2307E"/>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2307E"/>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307E"/>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307E"/>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52307E"/>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52307E"/>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307E"/>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307E"/>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7E"/>
    <w:rPr>
      <w:rFonts w:ascii="Tahoma" w:hAnsi="Tahoma" w:cs="Tahoma"/>
      <w:color w:val="000000"/>
      <w:sz w:val="16"/>
      <w:szCs w:val="16"/>
    </w:rPr>
  </w:style>
  <w:style w:type="paragraph" w:styleId="Header">
    <w:name w:val="header"/>
    <w:basedOn w:val="Normal"/>
    <w:link w:val="HeaderChar"/>
    <w:uiPriority w:val="99"/>
    <w:unhideWhenUsed/>
    <w:rsid w:val="00523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7E"/>
    <w:rPr>
      <w:color w:val="000000"/>
    </w:rPr>
  </w:style>
  <w:style w:type="paragraph" w:styleId="Footer">
    <w:name w:val="footer"/>
    <w:basedOn w:val="Normal"/>
    <w:link w:val="FooterChar"/>
    <w:rsid w:val="0052307E"/>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52307E"/>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52307E"/>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52307E"/>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52307E"/>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52307E"/>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52307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2307E"/>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52307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2307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2307E"/>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52307E"/>
    <w:rPr>
      <w:color w:val="000000"/>
    </w:rPr>
  </w:style>
  <w:style w:type="paragraph" w:customStyle="1" w:styleId="DescriptiveHeading">
    <w:name w:val="DescriptiveHeading"/>
    <w:next w:val="Paragraph"/>
    <w:link w:val="DescriptiveHeadingChar"/>
    <w:rsid w:val="0052307E"/>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52307E"/>
    <w:rPr>
      <w:rFonts w:ascii="Arial" w:eastAsia="Arial Unicode MS" w:hAnsi="Arial" w:cs="Arial"/>
      <w:b/>
      <w:color w:val="000000"/>
      <w:lang w:val="en-US" w:eastAsia="en-US"/>
    </w:rPr>
  </w:style>
  <w:style w:type="paragraph" w:customStyle="1" w:styleId="Paragraph">
    <w:name w:val="Paragraph"/>
    <w:basedOn w:val="Normal"/>
    <w:link w:val="ParagraphChar"/>
    <w:qFormat/>
    <w:rsid w:val="0052307E"/>
    <w:pPr>
      <w:spacing w:after="120" w:line="300" w:lineRule="atLeast"/>
      <w:jc w:val="both"/>
    </w:pPr>
    <w:rPr>
      <w:rFonts w:eastAsia="Arial Unicode MS"/>
      <w:szCs w:val="20"/>
      <w:lang w:eastAsia="en-US"/>
    </w:rPr>
  </w:style>
  <w:style w:type="table" w:styleId="TableGrid">
    <w:name w:val="Table Grid"/>
    <w:basedOn w:val="TableNormal"/>
    <w:rsid w:val="0052307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52307E"/>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52307E"/>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2307E"/>
    <w:rPr>
      <w:rFonts w:ascii="Arial" w:eastAsia="Arial Unicode MS" w:hAnsi="Arial" w:cs="Arial"/>
      <w:color w:val="000000"/>
      <w:sz w:val="24"/>
      <w:szCs w:val="24"/>
      <w:lang w:val="en-US" w:eastAsia="en-US"/>
    </w:rPr>
  </w:style>
  <w:style w:type="paragraph" w:customStyle="1" w:styleId="TitleClause">
    <w:name w:val="Title Clause"/>
    <w:basedOn w:val="Normal"/>
    <w:rsid w:val="0052307E"/>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52307E"/>
    <w:rPr>
      <w:rFonts w:ascii="Arial" w:eastAsia="Arial Unicode MS" w:hAnsi="Arial" w:cs="Arial"/>
      <w:color w:val="000000"/>
      <w:szCs w:val="20"/>
      <w:lang w:eastAsia="en-US"/>
    </w:rPr>
  </w:style>
  <w:style w:type="paragraph" w:customStyle="1" w:styleId="Untitledsubclause1">
    <w:name w:val="Untitled subclause 1"/>
    <w:basedOn w:val="Normal"/>
    <w:rsid w:val="0052307E"/>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2307E"/>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2307E"/>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2307E"/>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52307E"/>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52307E"/>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52307E"/>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52307E"/>
    <w:rPr>
      <w:rFonts w:ascii="Arial" w:eastAsia="Arial Unicode MS" w:hAnsi="Arial" w:cs="Arial"/>
      <w:color w:val="000000"/>
      <w:sz w:val="24"/>
      <w:lang w:val="en-US" w:eastAsia="en-US"/>
    </w:rPr>
  </w:style>
  <w:style w:type="paragraph" w:styleId="Title">
    <w:name w:val="Title"/>
    <w:link w:val="TitleChar"/>
    <w:rsid w:val="0052307E"/>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52307E"/>
    <w:rPr>
      <w:rFonts w:ascii="Arial" w:eastAsia="Arial Unicode MS" w:hAnsi="Arial" w:cs="Arial"/>
      <w:color w:val="000000"/>
      <w:sz w:val="24"/>
      <w:lang w:val="en-US" w:eastAsia="en-US"/>
    </w:rPr>
  </w:style>
  <w:style w:type="paragraph" w:customStyle="1" w:styleId="InternalTOC">
    <w:name w:val="Internal TOC"/>
    <w:rsid w:val="0052307E"/>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52307E"/>
    <w:pPr>
      <w:numPr>
        <w:numId w:val="11"/>
      </w:numPr>
      <w:spacing w:before="240" w:after="240"/>
      <w:ind w:left="0" w:firstLine="0"/>
    </w:pPr>
    <w:rPr>
      <w:b/>
    </w:rPr>
  </w:style>
  <w:style w:type="paragraph" w:customStyle="1" w:styleId="Background">
    <w:name w:val="Background"/>
    <w:aliases w:val="(A) Background"/>
    <w:basedOn w:val="Normal"/>
    <w:rsid w:val="0052307E"/>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52307E"/>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52307E"/>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52307E"/>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52307E"/>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52307E"/>
    <w:rPr>
      <w:b w:val="0"/>
      <w:smallCaps/>
    </w:rPr>
  </w:style>
  <w:style w:type="paragraph" w:customStyle="1" w:styleId="ClosingPara">
    <w:name w:val="Closing Para"/>
    <w:basedOn w:val="Normal"/>
    <w:rsid w:val="0052307E"/>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52307E"/>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52307E"/>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52307E"/>
  </w:style>
  <w:style w:type="paragraph" w:customStyle="1" w:styleId="CoverSheetSubjectText">
    <w:name w:val="Cover Sheet Subject Text"/>
    <w:basedOn w:val="Normal"/>
    <w:rsid w:val="0052307E"/>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52307E"/>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52307E"/>
    <w:pPr>
      <w:numPr>
        <w:numId w:val="24"/>
      </w:numPr>
    </w:pPr>
  </w:style>
  <w:style w:type="paragraph" w:customStyle="1" w:styleId="DraftingnoteSection1Para">
    <w:name w:val="Draftingnote Section1 Para"/>
    <w:basedOn w:val="Normal"/>
    <w:rsid w:val="0052307E"/>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52307E"/>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52307E"/>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52307E"/>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52307E"/>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52307E"/>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52307E"/>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52307E"/>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52307E"/>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52307E"/>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52307E"/>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52307E"/>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52307E"/>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52307E"/>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52307E"/>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52307E"/>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52307E"/>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52307E"/>
    <w:pPr>
      <w:spacing w:after="120" w:line="300" w:lineRule="atLeast"/>
      <w:jc w:val="both"/>
    </w:pPr>
    <w:rPr>
      <w:rFonts w:eastAsia="Arial Unicode MS"/>
      <w:szCs w:val="20"/>
      <w:lang w:eastAsia="en-US"/>
    </w:rPr>
  </w:style>
  <w:style w:type="paragraph" w:customStyle="1" w:styleId="GlossItemGlossterm">
    <w:name w:val="GlossItem Glossterm"/>
    <w:basedOn w:val="Normal"/>
    <w:rsid w:val="0052307E"/>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52307E"/>
    <w:pPr>
      <w:spacing w:after="120" w:line="300" w:lineRule="atLeast"/>
      <w:jc w:val="both"/>
    </w:pPr>
    <w:rPr>
      <w:rFonts w:eastAsia="Arial Unicode MS"/>
      <w:szCs w:val="20"/>
      <w:lang w:eastAsia="en-US"/>
    </w:rPr>
  </w:style>
  <w:style w:type="paragraph" w:customStyle="1" w:styleId="HeadingDate">
    <w:name w:val="Heading Date"/>
    <w:basedOn w:val="Normal"/>
    <w:rsid w:val="0052307E"/>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52307E"/>
    <w:pPr>
      <w:spacing w:after="120" w:line="300" w:lineRule="atLeast"/>
      <w:jc w:val="both"/>
    </w:pPr>
    <w:rPr>
      <w:rFonts w:eastAsia="Arial Unicode MS"/>
      <w:szCs w:val="20"/>
      <w:lang w:eastAsia="en-US"/>
    </w:rPr>
  </w:style>
  <w:style w:type="paragraph" w:customStyle="1" w:styleId="HeadingSalutation">
    <w:name w:val="Heading Salutation"/>
    <w:basedOn w:val="Normal"/>
    <w:rsid w:val="0052307E"/>
    <w:pPr>
      <w:spacing w:after="120" w:line="300" w:lineRule="atLeast"/>
      <w:jc w:val="both"/>
    </w:pPr>
    <w:rPr>
      <w:rFonts w:eastAsia="Arial Unicode MS"/>
      <w:szCs w:val="20"/>
      <w:lang w:eastAsia="en-US"/>
    </w:rPr>
  </w:style>
  <w:style w:type="paragraph" w:customStyle="1" w:styleId="InternalAuthor">
    <w:name w:val="Internal Author"/>
    <w:link w:val="InternalAuthorChar"/>
    <w:rsid w:val="0052307E"/>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52307E"/>
    <w:rPr>
      <w:rFonts w:ascii="Arial" w:eastAsia="Arial Unicode MS" w:hAnsi="Arial" w:cs="Arial"/>
      <w:color w:val="000000"/>
      <w:sz w:val="24"/>
      <w:lang w:val="en-US" w:eastAsia="en-US"/>
    </w:rPr>
  </w:style>
  <w:style w:type="paragraph" w:customStyle="1" w:styleId="MaintenanceEditor">
    <w:name w:val="Maintenance Editor"/>
    <w:link w:val="MaintenanceEditorChar"/>
    <w:rsid w:val="0052307E"/>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52307E"/>
    <w:rPr>
      <w:rFonts w:ascii="Arial" w:eastAsia="Arial Unicode MS" w:hAnsi="Arial" w:cs="Arial"/>
      <w:color w:val="000000"/>
      <w:sz w:val="24"/>
      <w:lang w:val="en-US" w:eastAsia="en-US"/>
    </w:rPr>
  </w:style>
  <w:style w:type="paragraph" w:customStyle="1" w:styleId="ParaClause">
    <w:name w:val="Para Clause"/>
    <w:basedOn w:val="Normal"/>
    <w:rsid w:val="0052307E"/>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52307E"/>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52307E"/>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52307E"/>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52307E"/>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52307E"/>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52307E"/>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52307E"/>
    <w:pPr>
      <w:spacing w:after="240"/>
      <w:ind w:left="3028"/>
    </w:pPr>
  </w:style>
  <w:style w:type="paragraph" w:customStyle="1" w:styleId="ScheduleUntitledsubclause4">
    <w:name w:val="Schedule Untitled subclause 4"/>
    <w:basedOn w:val="Normal"/>
    <w:rsid w:val="0052307E"/>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52307E"/>
    <w:pPr>
      <w:spacing w:after="120" w:line="300" w:lineRule="atLeast"/>
      <w:jc w:val="both"/>
    </w:pPr>
    <w:rPr>
      <w:rFonts w:eastAsia="Arial Unicode MS"/>
      <w:szCs w:val="20"/>
      <w:lang w:eastAsia="en-US"/>
    </w:rPr>
  </w:style>
  <w:style w:type="paragraph" w:customStyle="1" w:styleId="Parties">
    <w:name w:val="Parties"/>
    <w:aliases w:val="(1) Parties"/>
    <w:basedOn w:val="Normal"/>
    <w:rsid w:val="0052307E"/>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52307E"/>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2307E"/>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2307E"/>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2307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2307E"/>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52307E"/>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2307E"/>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52307E"/>
    <w:rPr>
      <w:rFonts w:ascii="Arial" w:eastAsia="Arial Unicode MS" w:hAnsi="Arial" w:cs="Arial"/>
      <w:b/>
      <w:bCs/>
      <w:color w:val="000000"/>
      <w:sz w:val="24"/>
      <w:lang w:val="en-US" w:eastAsia="en-US"/>
    </w:rPr>
  </w:style>
  <w:style w:type="paragraph" w:customStyle="1" w:styleId="ResourceType">
    <w:name w:val="Resource Type"/>
    <w:link w:val="ResourceTypeChar"/>
    <w:rsid w:val="0052307E"/>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2307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2307E"/>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52307E"/>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52307E"/>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52307E"/>
    <w:pPr>
      <w:spacing w:after="120" w:line="300" w:lineRule="atLeast"/>
      <w:jc w:val="both"/>
    </w:pPr>
    <w:rPr>
      <w:rFonts w:eastAsia="Arial Unicode MS"/>
      <w:szCs w:val="20"/>
      <w:lang w:eastAsia="en-US"/>
    </w:rPr>
  </w:style>
  <w:style w:type="paragraph" w:customStyle="1" w:styleId="SpeedreadPara">
    <w:name w:val="Speedread Para"/>
    <w:basedOn w:val="Normal"/>
    <w:rsid w:val="0052307E"/>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52307E"/>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52307E"/>
    <w:pPr>
      <w:spacing w:after="120" w:line="300" w:lineRule="atLeast"/>
      <w:jc w:val="both"/>
    </w:pPr>
    <w:rPr>
      <w:rFonts w:eastAsia="Arial Unicode MS"/>
      <w:szCs w:val="20"/>
      <w:lang w:eastAsia="en-US"/>
    </w:rPr>
  </w:style>
  <w:style w:type="paragraph" w:customStyle="1" w:styleId="SpeedreadText">
    <w:name w:val="Speedread Text"/>
    <w:basedOn w:val="Normal"/>
    <w:rsid w:val="0052307E"/>
    <w:pPr>
      <w:spacing w:after="120" w:line="300" w:lineRule="atLeast"/>
      <w:jc w:val="both"/>
    </w:pPr>
    <w:rPr>
      <w:rFonts w:eastAsia="Arial Unicode MS"/>
      <w:szCs w:val="20"/>
      <w:lang w:eastAsia="en-US"/>
    </w:rPr>
  </w:style>
  <w:style w:type="paragraph" w:customStyle="1" w:styleId="SpeedreadTitle">
    <w:name w:val="Speedread Title"/>
    <w:basedOn w:val="Normal"/>
    <w:rsid w:val="0052307E"/>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52307E"/>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2307E"/>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52307E"/>
    <w:rPr>
      <w:i/>
      <w:color w:val="000000"/>
      <w:u w:val="single"/>
    </w:rPr>
  </w:style>
  <w:style w:type="paragraph" w:customStyle="1" w:styleId="Bullet4">
    <w:name w:val="Bullet4"/>
    <w:basedOn w:val="Normal"/>
    <w:rsid w:val="0052307E"/>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52307E"/>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52307E"/>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52307E"/>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52307E"/>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52307E"/>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52307E"/>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52307E"/>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2307E"/>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52307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2307E"/>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52307E"/>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52307E"/>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52307E"/>
    <w:rPr>
      <w:rFonts w:ascii="Arial" w:eastAsia="Arial Unicode MS" w:hAnsi="Arial" w:cs="Arial"/>
      <w:color w:val="000000"/>
      <w:szCs w:val="24"/>
      <w:lang w:val="en-US" w:eastAsia="en-US"/>
    </w:rPr>
  </w:style>
  <w:style w:type="paragraph" w:customStyle="1" w:styleId="IntroDefault">
    <w:name w:val="Intro Default"/>
    <w:basedOn w:val="Paragraph"/>
    <w:qFormat/>
    <w:rsid w:val="0052307E"/>
  </w:style>
  <w:style w:type="paragraph" w:customStyle="1" w:styleId="IntroCustom">
    <w:name w:val="Intro Custom"/>
    <w:basedOn w:val="Paragraph"/>
    <w:qFormat/>
    <w:rsid w:val="0052307E"/>
  </w:style>
  <w:style w:type="paragraph" w:customStyle="1" w:styleId="PrecedentType">
    <w:name w:val="Precedent Type"/>
    <w:basedOn w:val="IgnoredSpacing"/>
    <w:qFormat/>
    <w:rsid w:val="0052307E"/>
  </w:style>
  <w:style w:type="paragraph" w:customStyle="1" w:styleId="Operative">
    <w:name w:val="Operative"/>
    <w:basedOn w:val="IgnoredSpacing"/>
    <w:qFormat/>
    <w:rsid w:val="0052307E"/>
    <w:rPr>
      <w:vanish/>
    </w:rPr>
  </w:style>
  <w:style w:type="paragraph" w:customStyle="1" w:styleId="SpeedreadBulletList1">
    <w:name w:val="Speedread Bullet List 1"/>
    <w:basedOn w:val="BulletList1"/>
    <w:qFormat/>
    <w:rsid w:val="0052307E"/>
  </w:style>
  <w:style w:type="paragraph" w:customStyle="1" w:styleId="PartiesTitle">
    <w:name w:val="Parties Title"/>
    <w:basedOn w:val="Paragraph"/>
    <w:qFormat/>
    <w:rsid w:val="0052307E"/>
    <w:rPr>
      <w:b/>
    </w:rPr>
  </w:style>
  <w:style w:type="paragraph" w:customStyle="1" w:styleId="QuestionParagraph">
    <w:name w:val="Question Paragraph"/>
    <w:link w:val="QuestionParagraphChar"/>
    <w:qFormat/>
    <w:rsid w:val="0052307E"/>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52307E"/>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52307E"/>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52307E"/>
    <w:pPr>
      <w:shd w:val="clear" w:color="auto" w:fill="D9D9D9" w:themeFill="background1" w:themeFillShade="D9"/>
      <w:ind w:left="1077"/>
    </w:pPr>
  </w:style>
  <w:style w:type="paragraph" w:customStyle="1" w:styleId="TestimoniumContract">
    <w:name w:val="Testimonium Contract"/>
    <w:basedOn w:val="Paragraph"/>
    <w:qFormat/>
    <w:rsid w:val="0052307E"/>
  </w:style>
  <w:style w:type="paragraph" w:customStyle="1" w:styleId="TestimoniumDeed">
    <w:name w:val="Testimonium Deed"/>
    <w:basedOn w:val="Paragraph"/>
    <w:qFormat/>
    <w:rsid w:val="0052307E"/>
  </w:style>
  <w:style w:type="paragraph" w:customStyle="1" w:styleId="Titlesubclause2">
    <w:name w:val="Title subclause2"/>
    <w:basedOn w:val="Untitledsubclause2"/>
    <w:qFormat/>
    <w:rsid w:val="0052307E"/>
    <w:rPr>
      <w:b/>
    </w:rPr>
  </w:style>
  <w:style w:type="paragraph" w:customStyle="1" w:styleId="Titlesubclause3">
    <w:name w:val="Title subclause3"/>
    <w:basedOn w:val="Untitledsubclause3"/>
    <w:qFormat/>
    <w:rsid w:val="0052307E"/>
    <w:rPr>
      <w:b/>
    </w:rPr>
  </w:style>
  <w:style w:type="paragraph" w:customStyle="1" w:styleId="Titlesubclause4">
    <w:name w:val="Title subclause4"/>
    <w:basedOn w:val="Untitledsubclause4"/>
    <w:qFormat/>
    <w:rsid w:val="0052307E"/>
    <w:rPr>
      <w:b/>
    </w:rPr>
  </w:style>
  <w:style w:type="paragraph" w:customStyle="1" w:styleId="UntitledClause">
    <w:name w:val="Untitled Clause"/>
    <w:basedOn w:val="TitleClause"/>
    <w:qFormat/>
    <w:rsid w:val="0052307E"/>
    <w:pPr>
      <w:spacing w:before="120"/>
    </w:pPr>
    <w:rPr>
      <w:b w:val="0"/>
    </w:rPr>
  </w:style>
  <w:style w:type="paragraph" w:customStyle="1" w:styleId="ScheduleUntitledClause">
    <w:name w:val="Schedule Untitled Clause"/>
    <w:basedOn w:val="ScheduleTitleClause"/>
    <w:qFormat/>
    <w:rsid w:val="0052307E"/>
    <w:pPr>
      <w:spacing w:before="120"/>
    </w:pPr>
    <w:rPr>
      <w:b w:val="0"/>
    </w:rPr>
  </w:style>
  <w:style w:type="paragraph" w:customStyle="1" w:styleId="Titlesubclause1">
    <w:name w:val="Title subclause1"/>
    <w:basedOn w:val="Untitledsubclause1"/>
    <w:qFormat/>
    <w:rsid w:val="0052307E"/>
    <w:pPr>
      <w:spacing w:before="120"/>
    </w:pPr>
    <w:rPr>
      <w:b/>
    </w:rPr>
  </w:style>
  <w:style w:type="paragraph" w:customStyle="1" w:styleId="Schedule">
    <w:name w:val="Schedule"/>
    <w:qFormat/>
    <w:rsid w:val="0052307E"/>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52307E"/>
    <w:rPr>
      <w:b/>
    </w:rPr>
  </w:style>
  <w:style w:type="paragraph" w:customStyle="1" w:styleId="Part">
    <w:name w:val="Part"/>
    <w:basedOn w:val="Paragraph"/>
    <w:qFormat/>
    <w:rsid w:val="0052307E"/>
    <w:pPr>
      <w:numPr>
        <w:ilvl w:val="1"/>
        <w:numId w:val="22"/>
      </w:numPr>
      <w:spacing w:before="240" w:after="240"/>
      <w:jc w:val="left"/>
    </w:pPr>
    <w:rPr>
      <w:b/>
    </w:rPr>
  </w:style>
  <w:style w:type="paragraph" w:customStyle="1" w:styleId="AnnexTitle">
    <w:name w:val="Annex Title"/>
    <w:basedOn w:val="Paragraph"/>
    <w:next w:val="Paragraph"/>
    <w:qFormat/>
    <w:rsid w:val="0052307E"/>
    <w:pPr>
      <w:spacing w:before="240" w:after="240"/>
    </w:pPr>
    <w:rPr>
      <w:b/>
    </w:rPr>
  </w:style>
  <w:style w:type="paragraph" w:customStyle="1" w:styleId="PartTitle">
    <w:name w:val="Part Title"/>
    <w:basedOn w:val="Paragraph"/>
    <w:qFormat/>
    <w:rsid w:val="0052307E"/>
    <w:rPr>
      <w:b/>
    </w:rPr>
  </w:style>
  <w:style w:type="paragraph" w:customStyle="1" w:styleId="Testimonium">
    <w:name w:val="Testimonium"/>
    <w:basedOn w:val="Paragraph"/>
    <w:qFormat/>
    <w:rsid w:val="0052307E"/>
  </w:style>
  <w:style w:type="character" w:customStyle="1" w:styleId="apple-converted-space">
    <w:name w:val="apple-converted-space"/>
    <w:basedOn w:val="DefaultParagraphFont"/>
    <w:rsid w:val="0052307E"/>
    <w:rPr>
      <w:color w:val="000000"/>
    </w:rPr>
  </w:style>
  <w:style w:type="character" w:styleId="Emphasis">
    <w:name w:val="Emphasis"/>
    <w:basedOn w:val="DefaultParagraphFont"/>
    <w:uiPriority w:val="20"/>
    <w:qFormat/>
    <w:rsid w:val="0052307E"/>
    <w:rPr>
      <w:i/>
      <w:iCs/>
      <w:color w:val="000000"/>
    </w:rPr>
  </w:style>
  <w:style w:type="paragraph" w:customStyle="1" w:styleId="NoNumTitle-Clause">
    <w:name w:val="No Num Title - Clause"/>
    <w:basedOn w:val="TitleClause"/>
    <w:qFormat/>
    <w:rsid w:val="0052307E"/>
    <w:pPr>
      <w:numPr>
        <w:numId w:val="0"/>
      </w:numPr>
      <w:ind w:left="720"/>
    </w:pPr>
  </w:style>
  <w:style w:type="paragraph" w:customStyle="1" w:styleId="NoNumTitlesubclause1">
    <w:name w:val="No Num Title subclause1"/>
    <w:basedOn w:val="Titlesubclause1"/>
    <w:qFormat/>
    <w:rsid w:val="0052307E"/>
    <w:pPr>
      <w:numPr>
        <w:ilvl w:val="0"/>
        <w:numId w:val="0"/>
      </w:numPr>
      <w:ind w:left="720"/>
    </w:pPr>
  </w:style>
  <w:style w:type="paragraph" w:customStyle="1" w:styleId="AddressLine">
    <w:name w:val="Address Line"/>
    <w:basedOn w:val="Paragraph"/>
    <w:qFormat/>
    <w:rsid w:val="0052307E"/>
  </w:style>
  <w:style w:type="paragraph" w:styleId="Date">
    <w:name w:val="Date"/>
    <w:basedOn w:val="Paragraph"/>
    <w:qFormat/>
    <w:rsid w:val="0052307E"/>
  </w:style>
  <w:style w:type="paragraph" w:customStyle="1" w:styleId="SalutationPara">
    <w:name w:val="Salutation Para"/>
    <w:basedOn w:val="Paragraph"/>
    <w:next w:val="Paragraph"/>
    <w:qFormat/>
    <w:rsid w:val="0052307E"/>
    <w:pPr>
      <w:spacing w:before="240"/>
    </w:pPr>
  </w:style>
  <w:style w:type="character" w:styleId="FollowedHyperlink">
    <w:name w:val="FollowedHyperlink"/>
    <w:basedOn w:val="DefaultParagraphFont"/>
    <w:uiPriority w:val="99"/>
    <w:semiHidden/>
    <w:unhideWhenUsed/>
    <w:rsid w:val="0052307E"/>
    <w:rPr>
      <w:i/>
      <w:color w:val="000000"/>
      <w:u w:val="single"/>
    </w:rPr>
  </w:style>
  <w:style w:type="character" w:customStyle="1" w:styleId="DefTerm">
    <w:name w:val="DefTerm"/>
    <w:basedOn w:val="DefaultParagraphFont"/>
    <w:uiPriority w:val="1"/>
    <w:qFormat/>
    <w:rsid w:val="0052307E"/>
    <w:rPr>
      <w:b/>
      <w:color w:val="000000"/>
    </w:rPr>
  </w:style>
  <w:style w:type="table" w:customStyle="1" w:styleId="ShadedTable">
    <w:name w:val="Shaded Table"/>
    <w:basedOn w:val="TableNormal"/>
    <w:uiPriority w:val="99"/>
    <w:rsid w:val="0052307E"/>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52307E"/>
    <w:rPr>
      <w:i/>
    </w:rPr>
  </w:style>
  <w:style w:type="paragraph" w:customStyle="1" w:styleId="LetterTitle">
    <w:name w:val="Letter Title"/>
    <w:basedOn w:val="Paragraph"/>
    <w:qFormat/>
    <w:rsid w:val="0052307E"/>
    <w:rPr>
      <w:b/>
    </w:rPr>
  </w:style>
  <w:style w:type="paragraph" w:customStyle="1" w:styleId="LongQuestionPara">
    <w:name w:val="Long Question Para"/>
    <w:basedOn w:val="Paragraph"/>
    <w:link w:val="LongQuestionParaChar"/>
    <w:rsid w:val="0052307E"/>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52307E"/>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52307E"/>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52307E"/>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52307E"/>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52307E"/>
    <w:pPr>
      <w:jc w:val="center"/>
    </w:pPr>
    <w:rPr>
      <w:sz w:val="28"/>
    </w:rPr>
  </w:style>
  <w:style w:type="paragraph" w:customStyle="1" w:styleId="Title-Clause">
    <w:name w:val="Title - Clause"/>
    <w:aliases w:val="BIWS Heading 1"/>
    <w:basedOn w:val="Normal"/>
    <w:rsid w:val="0052307E"/>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52307E"/>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52307E"/>
    <w:pPr>
      <w:spacing w:before="120"/>
    </w:pPr>
    <w:rPr>
      <w:b w:val="0"/>
    </w:rPr>
  </w:style>
  <w:style w:type="paragraph" w:customStyle="1" w:styleId="CoversheetParagraph">
    <w:name w:val="Coversheet Paragraph"/>
    <w:basedOn w:val="Normal"/>
    <w:autoRedefine/>
    <w:rsid w:val="0052307E"/>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52307E"/>
    <w:rPr>
      <w:smallCaps w:val="0"/>
      <w:sz w:val="22"/>
    </w:rPr>
  </w:style>
  <w:style w:type="paragraph" w:customStyle="1" w:styleId="CoversheetStaticText">
    <w:name w:val="Coversheet Static Text"/>
    <w:basedOn w:val="CoversheetIntro"/>
    <w:qFormat/>
    <w:rsid w:val="0052307E"/>
    <w:rPr>
      <w:b w:val="0"/>
    </w:rPr>
  </w:style>
  <w:style w:type="paragraph" w:customStyle="1" w:styleId="CoversheetParty">
    <w:name w:val="Coversheet Party"/>
    <w:basedOn w:val="CoversheetIntro"/>
    <w:qFormat/>
    <w:rsid w:val="0052307E"/>
  </w:style>
  <w:style w:type="paragraph" w:customStyle="1" w:styleId="NoNumUntitledClause">
    <w:name w:val="No Num Untitled Clause"/>
    <w:basedOn w:val="UntitledClause"/>
    <w:qFormat/>
    <w:rsid w:val="0052307E"/>
    <w:pPr>
      <w:numPr>
        <w:numId w:val="0"/>
      </w:numPr>
      <w:ind w:left="720"/>
    </w:pPr>
  </w:style>
  <w:style w:type="paragraph" w:customStyle="1" w:styleId="BackgroundSubclause1">
    <w:name w:val="Background Subclause1"/>
    <w:basedOn w:val="Background"/>
    <w:qFormat/>
    <w:rsid w:val="0052307E"/>
    <w:pPr>
      <w:numPr>
        <w:ilvl w:val="1"/>
      </w:numPr>
    </w:pPr>
  </w:style>
  <w:style w:type="paragraph" w:customStyle="1" w:styleId="BackgroundSubclause2">
    <w:name w:val="Background Subclause2"/>
    <w:basedOn w:val="Background"/>
    <w:qFormat/>
    <w:rsid w:val="0052307E"/>
    <w:pPr>
      <w:numPr>
        <w:ilvl w:val="3"/>
      </w:numPr>
    </w:pPr>
  </w:style>
  <w:style w:type="paragraph" w:customStyle="1" w:styleId="HeadingLevel2CQA">
    <w:name w:val="Heading Level 2 CQA"/>
    <w:basedOn w:val="HeadingLevel2"/>
    <w:qFormat/>
    <w:rsid w:val="0052307E"/>
  </w:style>
  <w:style w:type="paragraph" w:customStyle="1" w:styleId="ClauseBullet1">
    <w:name w:val="Clause Bullet 1"/>
    <w:basedOn w:val="ParaClause"/>
    <w:qFormat/>
    <w:rsid w:val="0052307E"/>
    <w:pPr>
      <w:numPr>
        <w:numId w:val="13"/>
      </w:numPr>
      <w:ind w:left="1077" w:hanging="357"/>
      <w:outlineLvl w:val="0"/>
    </w:pPr>
  </w:style>
  <w:style w:type="paragraph" w:customStyle="1" w:styleId="ClauseBullet2">
    <w:name w:val="Clause Bullet 2"/>
    <w:basedOn w:val="ParaClause"/>
    <w:qFormat/>
    <w:rsid w:val="0052307E"/>
    <w:pPr>
      <w:numPr>
        <w:numId w:val="14"/>
      </w:numPr>
      <w:ind w:left="1434" w:hanging="357"/>
      <w:outlineLvl w:val="1"/>
    </w:pPr>
  </w:style>
  <w:style w:type="paragraph" w:customStyle="1" w:styleId="subclause1Bullet1">
    <w:name w:val="subclause 1 Bullet 1"/>
    <w:basedOn w:val="Parasubclause1"/>
    <w:qFormat/>
    <w:rsid w:val="0052307E"/>
    <w:pPr>
      <w:numPr>
        <w:numId w:val="15"/>
      </w:numPr>
      <w:ind w:left="1077" w:hanging="357"/>
    </w:pPr>
  </w:style>
  <w:style w:type="paragraph" w:customStyle="1" w:styleId="subclause2Bullet1">
    <w:name w:val="subclause 2 Bullet 1"/>
    <w:basedOn w:val="Parasubclause2"/>
    <w:qFormat/>
    <w:rsid w:val="0052307E"/>
    <w:pPr>
      <w:numPr>
        <w:numId w:val="17"/>
      </w:numPr>
      <w:ind w:left="1434" w:hanging="357"/>
    </w:pPr>
  </w:style>
  <w:style w:type="paragraph" w:customStyle="1" w:styleId="subclause3Bullet1">
    <w:name w:val="subclause 3 Bullet 1"/>
    <w:basedOn w:val="Parasubclause3"/>
    <w:qFormat/>
    <w:rsid w:val="0052307E"/>
    <w:pPr>
      <w:numPr>
        <w:numId w:val="16"/>
      </w:numPr>
      <w:ind w:left="2273" w:hanging="357"/>
    </w:pPr>
  </w:style>
  <w:style w:type="paragraph" w:customStyle="1" w:styleId="subclause1Bullet2">
    <w:name w:val="subclause 1 Bullet 2"/>
    <w:basedOn w:val="Parasubclause1"/>
    <w:qFormat/>
    <w:rsid w:val="0052307E"/>
    <w:pPr>
      <w:numPr>
        <w:numId w:val="18"/>
      </w:numPr>
      <w:ind w:left="1434" w:hanging="357"/>
    </w:pPr>
  </w:style>
  <w:style w:type="paragraph" w:customStyle="1" w:styleId="subclause2Bullet2">
    <w:name w:val="subclause 2 Bullet 2"/>
    <w:basedOn w:val="Parasubclause2"/>
    <w:qFormat/>
    <w:rsid w:val="0052307E"/>
    <w:pPr>
      <w:numPr>
        <w:numId w:val="19"/>
      </w:numPr>
      <w:ind w:left="2273" w:hanging="357"/>
    </w:pPr>
  </w:style>
  <w:style w:type="paragraph" w:customStyle="1" w:styleId="subclause3Bullet2">
    <w:name w:val="subclause 3 Bullet 2"/>
    <w:basedOn w:val="Parasubclause3"/>
    <w:qFormat/>
    <w:rsid w:val="0052307E"/>
    <w:pPr>
      <w:numPr>
        <w:numId w:val="20"/>
      </w:numPr>
      <w:ind w:left="2982" w:hanging="357"/>
    </w:pPr>
  </w:style>
  <w:style w:type="paragraph" w:customStyle="1" w:styleId="DefinedTermBullet">
    <w:name w:val="Defined Term Bullet"/>
    <w:basedOn w:val="DefinedTermPara"/>
    <w:qFormat/>
    <w:rsid w:val="0052307E"/>
    <w:pPr>
      <w:numPr>
        <w:numId w:val="21"/>
      </w:numPr>
    </w:pPr>
  </w:style>
  <w:style w:type="paragraph" w:customStyle="1" w:styleId="DefinedTermNumber">
    <w:name w:val="Defined Term Number"/>
    <w:basedOn w:val="DefinedTermPara"/>
    <w:qFormat/>
    <w:rsid w:val="0052307E"/>
    <w:pPr>
      <w:numPr>
        <w:ilvl w:val="1"/>
      </w:numPr>
    </w:pPr>
  </w:style>
  <w:style w:type="paragraph" w:customStyle="1" w:styleId="AdditionalTitle">
    <w:name w:val="Additional Title"/>
    <w:basedOn w:val="Paragraph"/>
    <w:qFormat/>
    <w:rsid w:val="0052307E"/>
    <w:pPr>
      <w:jc w:val="left"/>
    </w:pPr>
    <w:rPr>
      <w:b/>
      <w:sz w:val="24"/>
    </w:rPr>
  </w:style>
  <w:style w:type="character" w:customStyle="1" w:styleId="error">
    <w:name w:val="error"/>
    <w:basedOn w:val="DefaultParagraphFont"/>
    <w:rsid w:val="0052307E"/>
    <w:rPr>
      <w:color w:val="000000"/>
    </w:rPr>
  </w:style>
  <w:style w:type="paragraph" w:customStyle="1" w:styleId="NoNumUntitledsubclause1">
    <w:name w:val="No Num Untitled subclause 1"/>
    <w:basedOn w:val="Untitledsubclause1"/>
    <w:qFormat/>
    <w:rsid w:val="0052307E"/>
    <w:pPr>
      <w:numPr>
        <w:ilvl w:val="0"/>
        <w:numId w:val="0"/>
      </w:numPr>
      <w:ind w:left="720"/>
    </w:pPr>
  </w:style>
  <w:style w:type="paragraph" w:customStyle="1" w:styleId="BackgroundParaClause">
    <w:name w:val="Background Para Clause"/>
    <w:basedOn w:val="Background"/>
    <w:qFormat/>
    <w:rsid w:val="0052307E"/>
    <w:pPr>
      <w:numPr>
        <w:numId w:val="0"/>
      </w:numPr>
    </w:pPr>
  </w:style>
  <w:style w:type="paragraph" w:customStyle="1" w:styleId="BackgroundParaSubclause1">
    <w:name w:val="Background Para Subclause1"/>
    <w:basedOn w:val="BackgroundSubclause1"/>
    <w:qFormat/>
    <w:rsid w:val="0052307E"/>
    <w:pPr>
      <w:numPr>
        <w:ilvl w:val="0"/>
        <w:numId w:val="0"/>
      </w:numPr>
      <w:ind w:left="994"/>
    </w:pPr>
    <w:rPr>
      <w:lang w:val="en-US"/>
    </w:rPr>
  </w:style>
  <w:style w:type="paragraph" w:customStyle="1" w:styleId="BackgroundParaSubclause2">
    <w:name w:val="Background Para Subclause2"/>
    <w:basedOn w:val="BackgroundSubclause2"/>
    <w:qFormat/>
    <w:rsid w:val="0052307E"/>
    <w:pPr>
      <w:numPr>
        <w:ilvl w:val="0"/>
        <w:numId w:val="0"/>
      </w:numPr>
      <w:ind w:left="1701"/>
    </w:pPr>
    <w:rPr>
      <w:lang w:val="en-US"/>
    </w:rPr>
  </w:style>
  <w:style w:type="paragraph" w:customStyle="1" w:styleId="ClauseBulletPara">
    <w:name w:val="Clause Bullet Para"/>
    <w:basedOn w:val="ClauseBullet1"/>
    <w:qFormat/>
    <w:rsid w:val="0052307E"/>
    <w:pPr>
      <w:numPr>
        <w:numId w:val="0"/>
      </w:numPr>
      <w:ind w:left="1080"/>
    </w:pPr>
    <w:rPr>
      <w:lang w:val="en-US"/>
    </w:rPr>
  </w:style>
  <w:style w:type="paragraph" w:customStyle="1" w:styleId="ClauseBullet2Para">
    <w:name w:val="Clause Bullet 2 Para"/>
    <w:basedOn w:val="ClauseBullet2"/>
    <w:qFormat/>
    <w:rsid w:val="0052307E"/>
    <w:pPr>
      <w:numPr>
        <w:numId w:val="0"/>
      </w:numPr>
      <w:ind w:left="1440"/>
    </w:pPr>
    <w:rPr>
      <w:lang w:val="en-US"/>
    </w:rPr>
  </w:style>
  <w:style w:type="paragraph" w:customStyle="1" w:styleId="ACTJurisdictionCheckList">
    <w:name w:val="ACTJurisdictionCheckList"/>
    <w:basedOn w:val="Normal"/>
    <w:rsid w:val="0052307E"/>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2307E"/>
  </w:style>
  <w:style w:type="paragraph" w:customStyle="1" w:styleId="EmptyClausePara">
    <w:name w:val="Empty Clause Para"/>
    <w:basedOn w:val="IgnoredSpacing"/>
    <w:qFormat/>
    <w:rsid w:val="0052307E"/>
  </w:style>
  <w:style w:type="paragraph" w:styleId="ListParagraph">
    <w:name w:val="List Paragraph"/>
    <w:basedOn w:val="Normal"/>
    <w:uiPriority w:val="34"/>
    <w:qFormat/>
    <w:rsid w:val="0052307E"/>
    <w:pPr>
      <w:ind w:left="720"/>
      <w:contextualSpacing/>
    </w:pPr>
  </w:style>
  <w:style w:type="paragraph" w:customStyle="1" w:styleId="ScheduleTitlesubclause1">
    <w:name w:val="Schedule Title subclause1"/>
    <w:basedOn w:val="ScheduleUntitledsubclause1"/>
    <w:qFormat/>
    <w:rsid w:val="0052307E"/>
    <w:pPr>
      <w:spacing w:before="120"/>
    </w:pPr>
    <w:rPr>
      <w:b/>
    </w:rPr>
  </w:style>
  <w:style w:type="paragraph" w:customStyle="1" w:styleId="BulletList1Pattern">
    <w:name w:val="Bullet List 1 + Pattern"/>
    <w:basedOn w:val="BulletList1"/>
    <w:qFormat/>
    <w:rsid w:val="0052307E"/>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52307E"/>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52307E"/>
  </w:style>
  <w:style w:type="table" w:customStyle="1" w:styleId="ShadedTable1">
    <w:name w:val="Shaded Table1"/>
    <w:basedOn w:val="TableNormal"/>
    <w:uiPriority w:val="99"/>
    <w:rsid w:val="0052307E"/>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52307E"/>
  </w:style>
  <w:style w:type="character" w:customStyle="1" w:styleId="IgnoredEmptysubclauseChar">
    <w:name w:val="Ignored Empty subclause Char"/>
    <w:basedOn w:val="DefaultParagraphFont"/>
    <w:link w:val="IgnoredEmptysubclause"/>
    <w:rsid w:val="0052307E"/>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organization may use this policy to notify its website visitors about how it collects, uses and stores personal data through use of its website.
          </paratext>
        </para>
      </abstract>
      <toc.identifier hasToc="true"/>
      <body>
        <drafting.note id="a743101" jurisdiction="">
          <head align="left" preservecase="true">
            <headtext>About this document</headtext>
          </head>
          <division id="a000004" level="1">
            <para>
              <paratext>
                The UK data protection regime comprises the  
                <link href="w-026-8528" style="ACTLinkPLCtoPLC">
                  <ital>UK GDPR</ital>
                </link>
                 (that is, the 
                <link href="w-027-1020" style="ACTLinkPLCtoPLC">
                  <ital>retained EU law version of the General Data Protection Regulation ((EU) 2016/679)</ital>
                </link>
                , along with the 
                <link href="w-014-9417" style="ACTLinkPLCtoPLC">
                  <ital>Data Protection Act 2018</ital>
                </link>
                <ital> </ital>
                 (DPA 2018) and the 
                <link href="1-507-2637" style="ACTLinkPLCtoPLC">
                  <ital>Privacy and Electronic Communications (EC Directive) Regulations 2003 (SI 2003/2426) </ital>
                </link>
                 (PECR).
              </paratext>
            </para>
            <para>
              <paratext>
                <link href="https://uk.westlaw.com/Document/I50AFD2F04E4711F0B3DAAB7E187D74F0/View/FullText.html" style="ACTLinkURL">
                  <ital>Data (Use and Access) Act 2025</ital>
                </link>
                <link href="w-010-6097" style="ACTLinkPLCtoPLC">
                  <ital>UK data protection legislation tracker</ital>
                </link>
              </paratext>
            </para>
            <para>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 </ital>
                </link>
                who have an establishment in the EU, or who offer goods or services to data subjects in the EU, or who monitor their behaviour as far as their behaviour takes place within the EU. These organisations may therefore find themselves subject to dual data protection regulatory regimes under the UK GDPR and the EU GDPR. For more information, see 
                <link href="w-035-9188" style="ACTLinkPLCtoPLC">
                  <ital>Practice note, Processing personal data: applicability of EU GDPR and UK GDPR</ital>
                </link>
                .
              </paratext>
            </para>
            <para>
              <paratext>For the purposes of this document, we have assumed that we are dealing with an organisation subject to the UK GDPR which does not provide goods or services to EU data subjects or monitor their behaviour. For that reason, we refer only to compliance with the DPA 2018 and the UK GDPR (as well as PECR where relevant). However, where an organisation is also subject to the EU GDPR, it may be possible to adapt this document as the requirements are similar, subject to local law advice and depending on where the organisation operates.</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separate website terms of use or other similar terms and conditions as well as a cookie policy. For a UK-based template website terms and conditions, see 
                  <link href="5-201-7195" style="ACTLinkPLCtoPLC">
                    <ital>Standard document, Website terms of service (UK)</ital>
                  </link>
                   and 
                  <link href="9-617-4909" style="ACTLinkPLCtoPLC">
                    <ital>Standard document, Consumer goods, services and digital content terms and conditions (all channels)</ital>
                  </link>
                  . For a cookie policy, see 
                  <link href="w-019-8333" style="ACTLinkPLCtoPLC">
                    <ital>Standard document, Cookie policy (UK)</ital>
                  </link>
                  . For more information on transparency, see 
                  <link href="w-039-4444" style="ACTLinkPLCtoPLC">
                    <ital>Complying with the UK GDPR's transparency requirements toolkit</ital>
                  </link>
                  . See also 
                  <link href="w-042-2620" style="ACTLinkPLCtoPLC">
                    <ital>Practice note, Website terms of service: drafting for children (UK)</ital>
                  </link>
                  . For mobile app privacy notices, see 
                  <link href="w-043-6433" style="ACTLinkPLCtoPLC">
                    <ital>Standard documents, Mobile app privacy notice (short form) (UK and EU)</ital>
                  </link>
                   and 
                  <link href="w-015-6885" style="ACTLinkPLCtoPLC">
                    <ital>Mobile app privacy notice (long form) (UK and EU)</ital>
                  </link>
                  .
                </paratext>
              </para>
            </division>
            <division id="a161287" level="2">
              <head align="left" preservecase="true">
                <headtext>What to call the policy</headtext>
              </head>
              <para>
                <paratext>This template is titled privacy policy, but it can equally be called something else as long as it covers what is required under the UK GDPR. There are a variety of terms that can be used to describe the method used to deliver transparency information to individuals, including data protection notice, information notice, privacy policy, privacy statement, privacy notice and data privacy notice. The terminology used can depend on a number of factors, for example:</paratext>
              </para>
              <list type="bulleted">
                <list.item>
                  <para>
                    <paratext>Local law requirements and global reach for a notice such as a privacy policy.</paratext>
                  </para>
                </list.item>
                <list.item>
                  <para>
                    <paratext>Private or public sector (in the case of public sector, they may choose to cover both data protection and freedom of information).</paratext>
                  </para>
                </list.item>
                <list.item>
                  <para>
                    <paratext>House style and other factors.</paratext>
                  </para>
                </list.item>
              </list>
              <para>
                <paratext>There is no one size fits all, nor is the legislation prescriptive on this point. The requirement is to make it clear that the notice includes fair processing and transparency information and that it is made accessible.</paratext>
              </para>
            </division>
            <division id="a297023" level="2">
              <head align="left" preservecase="true">
                <headtext>Determining what personal data is processed</headtext>
              </head>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processes about its customers. The results of the audit should be documented. For further information, see 
                  <link href="3-504-7821" style="ACTLinkPLCtoPLC">
                    <ital>Checklist, Data protection audit: checklist (UK)</ital>
                  </link>
                  <ital> </ital>
                  and 
                  <link anchor="a109414" href="w-032-7291" style="ACTLinkPLCtoPLC">
                    <ital>Data protection accountability toolkit (UK): Audits</ital>
                  </link>
                  .
                </paratext>
              </para>
              <para>
                <paratext>
                  <bold>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bold>
                </paratext>
              </para>
            </division>
            <division id="a177143" level="2">
              <head align="left" preservecase="true">
                <headtext>Making the policy available</headtext>
              </head>
              <para>
                <paratext>
                  A website privacy policy should be made available to individuals as a standalone resource. Organisations should therefore avoid embedding a privacy policy within their legal terms and conditions as this could have the effect of putting off readers because of information fatigue due to the overall length of the document and regulators have noted this (for example the Irish Data Protection Commissioner (DPC) and the 
                  <link href="w-014-9105" style="ACTLinkPLCtoPLC">
                    <ital>European Data Protection Board </ital>
                  </link>
                  (EDPB), see 
                  <link href="w-039-8978" style="ACTLinkPLCtoPLC">
                    <ital>Video, European Data Protection Board's Meta Decisions on Lawful Basis for Processing, Transparency, and Fairness</ital>
                  </link>
                  ).
                </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anchor="a353270" href="w-032-7291" style="ACTLinkPLCtoPLC">
                    <ital>Data protection accountability toolkit (UK): Training and awareness</ital>
                  </link>
                  ).
                </paratext>
              </para>
              <para>
                <paratext>
                  For more information on transparency requirements, see 
                  <link href="w-039-3886" style="ACTLinkPLCtoPLC">
                    <ital>Complying with the UK GDPR's transparency requirements: checklist</ital>
                  </link>
                  .
                </paratext>
              </para>
            </division>
            <division id="a267306" level="2">
              <head align="left" preservecase="true">
                <headtext>Guidance and decisions</headtext>
              </head>
              <para>
                <paratext>
                  Guidelines on how to comply with the transparency provisions under the EU GDPR are currently set out in the 
                  <link href="https://www.edpb.europa.eu/our-work-tools/our-documents/article-29-working-party-guidelines-transparency-under-regulation_en" style="ACTLinkURL">
                    <ital>Article 29 Working Party: Guidelines on Transparency under Regulation 2016/679 (WP260 rev.01)</ital>
                  </link>
                  <ital>, </ital>
                  adopted 29 November 2017 (EDPB Transparency Guidelines) (the 
                  <link href="1-508-0312" style="ACTLinkPLCtoPLC">
                    <ital>EU Article 29 Working Party </ital>
                  </link>
                   no longer exists and is now the EDPB and the EDPB adopted these guidelines during its first plenary meeting and revised them further in April 2018. See 
                  <link href="w-012-2756" style="ACTLinkPLCtoPLC">
                    <ital>Legal update, Article 29 Working Party publishes guidelines on transparency for consultation (full update)</ital>
                  </link>
                  ). The EDPB Transparency Guidelines are still of relevance in the UK and have been cited by the ICO in enforcement decisions, for example in its decision on Tik Tok in May 2023. See 
                  <link href="w-039-0777" style="ACTLinkPLCtoPLC">
                    <ital>Legal update, ICO fines TikTok £12.7 million for misuse of children's personal data</ital>
                  </link>
                   and 
                  <link anchor="a760577" href="w-013-2516" style="ACTLinkPLCtoPLC">
                    <ital>Practice note, ICO civil penalties: tracker</ital>
                  </link>
                  .
                </paratext>
              </para>
              <para>
                <paratext>
                  The ICO has also issued guidance on providing information to individuals, transparency and the right to be informed (
                  <link href="https://ico.org.uk/for-organisations/uk-gdpr-guidance-and-resources/" style="ACTLinkURL">
                    <ital>ICO:UK GDPR guidance and resources</ital>
                  </link>
                  ).
                </paratext>
              </para>
              <para>
                <paratext>
                  The ICO has also created a tool known as the 
                  <link href="https://ico.org.uk/for-organisations/advice-for-small-organisations/create-your-own-privacy-notice/privacy-notice-generator-for-customers-or-suppliers/" style="ACTLinkURL">
                    <ital>privacy notice generator</ital>
                  </link>
                   that allows organisations to create bespoke privacy notices. There are five privacy policy templates available for customer and supplier information:
                </paratext>
              </para>
              <list type="bulleted">
                <list.item>
                  <para>
                    <paratext>Professional services (including finance, insurance and legal services).</paratext>
                  </para>
                </list.item>
                <list.item>
                  <para>
                    <paratext>Education and childcare.</paratext>
                  </para>
                </list.item>
                <list.item>
                  <para>
                    <paratext>Health and social care.</paratext>
                  </para>
                </list.item>
                <list.item>
                  <para>
                    <paratext>Charity and voluntary.</paratext>
                  </para>
                </list.item>
                <list.item>
                  <para>
                    <paratext>Other businesses, including retail and manufacture.</paratext>
                  </para>
                </list.item>
              </list>
              <para>
                <paratext>There is also a separate template for staff and volunteer information.</paratext>
              </para>
              <para>
                <paratext>The ICO advises that the privacy notice generator tool is only suitable for small and medium-sized businesses and charities. It is not suitable for organisations that carry out automated decsion-making or that are required to appoint a DPO without making significant changes to the template.</paratext>
              </para>
              <para>
                <paratext>
                  This privacy policy has been drafted to comply principally with the 
                  <link href="w-027-1020" style="ACTLinkPLCtoPLC">
                    <ital>UK GDPR</ital>
                  </link>
                  , with references to how the EDPB Transparency Guidelines have been incorporated or where they are difficult to comply with in practice and also takes account of the ICO guidance in this area.
                </paratext>
              </para>
              <para>
                <paratext>This document also refers to decisions made by the EDPB and EU regulators (in particular Ireland) which, although not binding on the UK, are nevertheless of interest in interpreting the UK GDPR and may be referred to by the ICO in decision-making.</paratext>
              </para>
            </division>
            <division id="a149581" level="2">
              <head align="left" preservecase="true">
                <headtext>What is not covered in this privacy policy</headtext>
              </head>
              <para>
                <paratext>
                  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 For more information and other templates, see 
                  <link href="w-039-4444" style="ACTLinkPLCtoPLC">
                    <ital>Complying with the UK GDPR's transparency requirements toolkit</ital>
                  </link>
                  .
                </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472063" href="w-013-3757" style="ACTLinkPLCtoPLC">
                      <ital>Practice note, Overview of UK GDPR: Special categories of personal data</ital>
                    </link>
                    <ital> </ital>
                    and  
                    <link anchor="a870508" href="w-014-6104" style="ACTLinkPLCtoPLC">
                      <ital>Practice note, UK GDPR and DPA 2018: exemptions: Special categories of personal data and criminal convictions and offences data)</ital>
                    </link>
                    .
                  </paratext>
                </para>
              </division>
              <division id="a924333" level="3">
                <head align="left" preservecase="true">
                  <headtext>Children's personal data</headtext>
                </head>
                <para>
                  <paratext>
                    Websites targeting children should review parental policy and consent requirements (see 
                    <link href="w-019-3844" style="ACTLinkPLCtoPLC">Practice notes, Children and the law: data protection aspects (UK)</link>
                     and 
                    <link href="w-039-8568" style="ACTLinkPLCtoPLC">Drafting child-friendly privacy notices (UK)</link>
                    ). In the UK, sites likely to be accessed by under 18 year olds, where the site owner processes such children's data, must comply with the ICO's Age-Appropriate Design Code (Children's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https://ico.org.uk/for-organisations/uk-gdpr-guidance-and-resources/childrens-information/childrens-code-guidance-and-resources/age-appropriate-design-a-code-of-practice-for-online-services/" style="ACTLinkURL">
                        <ital>ICO: Age appropriate design: a code of practice for online services (Children's Code)</ital>
                      </link>
                      .)
                    </paratext>
                  </para>
                </display.quote>
                <para>
                  <paratext>Greater preparation and creativity is required when designing and drafting privacy notices for children (compared to the typical written text of an adult-facing privacy notice) to take account of the age of the child and the fact that their developmental needs may change as they grow older. It is crucial to know the age range of your users so that you can provide privacy information to them which is concise, prominent and in clear language suited to the age of the child. Controllers providing products or services to children via their website should consult the Children’s Code and the related guidance on the ICO's website in order to ensure that they meet the regulator's expectations regarding the drafting of child-friendly privacy notices.</paratext>
                </para>
                <para>
                  <paratext>Publishing information in a stand-alone privacy policy, which may be situated at the bottom of a web page, is highly unlikely to be sufficient to comply with the Children's Code. A compliant approach would involve providing privacy information in different child-friendly formats throughout the website including, for example, the potential use of icons and pop-up boxes, where a child might be prompted to do something that could affect the way their data is used. The ICO also advises using diagrams, cartoons, graphics and videos to help make privacy notices appealing to a young audience.</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ital>,</ital>
                    <link anchor="a684634" href="w-020-2218" style="ACTLinkPLCtoPLC">
                      <ital>Social media compliance: Children's code</ital>
                    </link>
                    , 
                    <link href="w-039-8568" style="ACTLinkPLCtoPLC">
                      <ital>Drafting child-friendly privacy notices (UK)</ital>
                    </link>
                    , 
                    <link href="w-043-9946" style="ACTLinkPLCtoPLC">
                      <ital>Toolkit, Children and data protection toolkit (UK)</ital>
                    </link>
                     and 
                    <link href="w-039-5753" style="ACTLinkPLCtoPLC">
                      <ital>Checklist, Drafting child-friendly privacy notices (UK)</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UK GDPR Privacy notice for employees, workers and contractors</ital>
                    </link>
                    ).
                  </paratext>
                </para>
                <para>
                  <paratext>
                    This website privacy policy is drafted from the perspective of a customer-facing organisation on a public facing website (as opposed to an employee-facing privacy policy which would typically appear on an organisation’s intranet or within a staff handbook). See 
                    <link href="8-386-8683" style="ACTLinkPLCtoPLC">
                      <ital>Standard document, Staff handbook (long form)</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
                    <ital>Drafting note, Provision of information to data subjects</ital>
                  </internal.reference>
                  ). All information provided must be concise, transparent, easily accessible and given in plain language (
                  <ital>Article 12, UK GDPR</ital>
                  ).  The design and format of the privacy policy is therefore key to achieving compliance with these Article 12 transparency requirements. See 
                  <link href="w-039-3886" style="ACTLinkPLCtoPLC">
                    <ital>Checklist, Complying with the UK GDPR's transparency requirements</ital>
                  </link>
                  .
                </paratext>
              </para>
              <para>
                <paratext>Although the EDPB Transparency Guidelines have suggested various mechanisms to assist with these requirements, they have recognised that there remains an inherent tension between the requirement, on the one hand, to provide comprehensive information and, on the other hand, to do so in a form that is concise, transparent, intelligible and easily accessible. The EDPB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paratext>
              </para>
              <para>
                <paratext>The UK GDPR allows for the use of visualisation tools as well as language communications to comply with the principle of transparency. Visualisation tools can include icons, certification mechanisms, and data protection seals and marks. However, as there are no uniformly agreed icons,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paratext>
              </para>
              <para>
                <paratext>
                  Examples include a layered approach, privacy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 Care should therefore be taken when layering privacy information in order to comply with the important requirement in Article 12(1) of the UK GDPR for privacy information to be easily accessible. The Irish DPC made the important finding in its landmark decision on WhatsApp that where privacy information is contained in multiple, linked documents, it may be viewed as being not easily accessible to the user, especially where the documents contain overlapping, but slightly different, information (as was the case with WhatsApp's privacy notices and related policies). See 
                  <link href="w-039-8978" style="ACTLinkPLCtoPLC">
                    <ital>Video, European Data Protection Board's Meta Decisions on Lawful Basis for Processing, Transparency, and Fairness</ital>
                  </link>
                  .
                </paratext>
              </para>
              <para>
                <paratext>The EDPB Transparency Guidelines also refer to use of privacy dashboards and just-in-time notices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 so that there is an easy way for the user to know that they have seen all the relevant privacy information. This latter point was emphasised in the WhatsApp case, along with a reminder that controllers should avoid having a continuous scroll of information in their website privacy policies, with no way for the user to see short-cut options after the home page.</paratext>
              </para>
              <para>
                <paratext>This privacy policy follows a layered format providing the title of each of the thirteen sections which link through to the content for each section, rather than setting out everything in full in one document (although users are given the option of downloading the full document should they so wish). The clicked through sections enable the controller to meet the Article 12 requirement for the privacy information to be easily accessible.</paratext>
              </para>
              <para>
                <paratext>This policy has split the different areas by the type of processing (for example, collection, use and sharing). However, organisations could follow a different format and split their policy up differently, by perhaps following the execution process with a customer (for example, direct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their customers globally or jurisdiction-specific or regional privacy policies, taking into account the fact that even within the EU, member states are likely to have varying rules on data protection. This policy is UK focused but can be adapted as required as the requirements are similar in the UK GDPR and EU GDPR, subject to local law advice and depending on where the organisation operates.</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
                    <ital>Drafting note, How is your personal data collected?</ital>
                  </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https://ico.org.uk/for-organisations/uk-gdpr-guidance-and-resources/individual-rights/individual-rights/right-to-be-informed/" style="ACTLinkURL">
                    <ital>ICO: Right to be informed</ital>
                  </link>
                  ).
                </paratext>
              </para>
              <para>
                <paratext>
                  For more information, see 
                  <link href="w-039-3886" style="ACTLinkPLCtoPLC">
                    <ital>Checklist, Complying with the UK GDPR's transparency requirements</ital>
                  </link>
                  .
                </paratext>
              </para>
            </division>
            <division id="a477505" level="2">
              <head align="left" preservecase="true">
                <headtext>Taking a risk-based approach</headtext>
              </head>
              <para>
                <paratext>
                  The EDPB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division id="a398949" level="2">
              <head align="left" preservecase="true">
                <headtext>Onerous requirements arising out of interpretation of EU GDPR by EDPB Transparency Guidelines</headtext>
              </head>
              <para>
                <paratext>The bullets below set out some of the more onerous regulatory requirements set out by the EDPB in relation to transparency under the EU GDPR. Where appropriate, we have stated the position of the ICO in interpreting the UK GDPR:</paratext>
              </para>
              <list type="bulleted">
                <list.item>
                  <para>
                    <paratext>
                      The EU GDPR and UK GDPR require the controller to set out the purposes and legal basis of any processing. The EDPB requires that "the relevant legal basis relied upon under Art 6 and 9 must be specified" including the applicable member state law. This implies that each purpose or processing activity should be matched to a specific legal basis, including calling out additional legal basis per activity where relevant. This is also the position of the ICO and is discussed below in relation to 
                      <internal.reference refid="a179246">
                        <ital>paragraph 4</ital>
                      </internal.reference>
                       of the privacy policy (
                      <ital>How we use your personal data</ital>
                      ).
                    </paratext>
                  </para>
                </list.item>
                <list.item>
                  <para>
                    <paratext>
                      The EU GDPR and UK GDPR require you to set out the specific legitimate interests being relied on. The EDPB suggests the balancing interest test used to rely on legitimate interest also needs to be provided to the data subject before collection of data or included in a layered policy, or it should be made clear that this test is available on request. Whilst the ICO also expects controllers to identify in the privacy policy the specific legitimate interests being relied on, it is unlikely that the UK regulator would adopt such a strict approach in terms of requiring controllers to provide individuals with information in the privacy policy about the actual legitimate balancing test that was previously carried out. See 
                      <link href="w-037-4611" style="ACTLinkPLCtoPLC">
                        <ital>Checklist, Data Protection legitimate interests assessment (UK): checklist</ital>
                      </link>
                      .
                    </paratext>
                  </para>
                </list.item>
                <list.item>
                  <para>
                    <paratext>The EU GDPR and UK GDPR state you should provide data subjects with "relevant further information as referred to in paragraph 2" where personal data is used for another purpose. The EDPB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the EDPB recommends that they make it clear to data subjects that they can obtain this information on request.</paratext>
                  </para>
                </list.item>
                <list.item>
                  <para>
                    <paratext>The EU GDPR and UK GDPR state the source from which personal data originated and whether it came from a publicly available source should be provided when data is not obtained from an individual. Recital 61 states that where the source cannot be provided because various sources have been used, general information should be provided instead. The EDPB provides clarity on what it believes this general information should include: the nature of the source (that is, publicly or privately held sources) and the type of organisation/industry/sector.</paratext>
                  </para>
                </list.item>
                <list.item>
                  <para>
                    <paratext>The EU GDPR and UK GDPR require recipients or categories of recipients to be set out in the privacy policy. The EDPB states recipients could include other controllers, processors or joint controllers, so this could extend to internal recipients in respect to intra-group data transfers. The EDPB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 The ICO adopts a similar interpretation of this provision.</paratext>
                  </para>
                </list.item>
                <list.item>
                  <para>
                    <paratext>
                      The EU GDPR and UK GDPR require privacy policies to state when data is transferred out of the EEA and the mechanism relied on, together with means to obtain details of the mechanism. The EDPB recommends the policy should generally list individual countries outside the EEA where data has been transferred. The ICO has adopted a similar approach in the Tik Tok case for data transfers out of the UK which is discussed in 
                      <internal.reference refid="a888527">
                        <ital>paragraph 6</ital>
                      </internal.reference>
                       section of the privacy policy below (International transfers).
                    </paratext>
                  </para>
                </list.item>
              </list>
            </division>
            <division id="a579296" level="2">
              <head align="left" preservecase="true">
                <headtext>Business sign-off and user testing</headtext>
              </head>
              <para>
                <paratext>The privacy policy should not make promises or statements that an organisation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 and data protection compliance function (including DPO where applicable).</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privacy policy is and that organisations should put themselves in the position of the people they are collecting information about.</paratext>
              </para>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5" level="1">
                <para>
                  <paratext>This privacy policy may be used by an online organisation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
                    The template provisions set out in this privacy policy deal with processing non-sensitive personal data with relatively limited processing activities. Accordingly, this document will need to be tailored and provisions expanded on if a website or organisation has a complex operation involving many parties, or numerous different types of data and numerous processing activities. For more information see 
                    <internal.reference refid="a743101">
                      <ital>Drafting note, About this document</ital>
                    </internal.reference>
                    .
                  </paratext>
                </para>
                <para>
                  <paratext>
                    In addition to this general website privacy policy, it is important that organisations issue a short-form privacy policy or fair processing policy at the actual point when it collects data from an individual. Such a short-form notice would set out why data is being collected and processed for a particular purpose and perhaps refer to the contents of this website privacy policy for more details. See 
                    <link href="w-014-8428" style="ACTLinkPLCtoPLC">
                      <ital>Standard document, Short form online privacy notice (UK)</ital>
                    </link>
                     and 
                    <link href="w-039-4444" style="ACTLinkPLCtoPLC">
                      <ital>Complying with the UK GDPR's transparency requirements toolkit</ital>
                    </link>
                    .
                  </paratext>
                </para>
                <para>
                  <paratext>We have indicated throughout the document where we advise including internal hyperlinks by square brackets and italics (these are not all live in the document as published).</paratext>
                </para>
              </division>
            </drafting.note>
          </clause>
          <clause id="a448936" numbering="none">
            <para>
              <paratext>
                <bold>PRIVACY POLICY</bold>
              </paratext>
            </para>
          </clause>
          <clause id="a183820" numbering="none">
            <para>
              <paratext>
                This privacy policy sets out how [ORGANISATION] uses and protects your personal data. This privacy policy is provided in a layered format so you can click through to the specific areas set out below. Alternatively, you can [view the full version of the privacy policy here [LINK] 
                <bold>OR </bold>
                download a copy of the policy here: [LINK].]
              </paratext>
            </para>
          </clause>
          <clause id="a345171" numbering="none">
            <para>
              <paratext>
                <bold>1. IMPORTANT INFORMATION AND WHO WE ARE (</bold>
                <internal.reference refid="a819128">
                  <bold>
                    <ital>paragraph 1</ital>
                  </bold>
                </internal.reference>
                <bold>
                  <ital>)</ital>
                </bold>
              </paratext>
            </para>
          </clause>
          <clause id="a313821" numbering="none">
            <para>
              <paratext>
                <bold>2. TYPES OF PERSONAL DATA WE COLLECT ABOUT YOU (</bold>
                <internal.reference refid="a480831">
                  <bold>
                    <ital>paragraph 2</ital>
                  </bold>
                </internal.reference>
                <bold>)</bold>
              </paratext>
            </para>
          </clause>
          <clause id="a575864" numbering="none">
            <para>
              <paratext>
                <bold>3. HOW IS YOUR PERSONAL DATA COLLECTED? (</bold>
                <internal.reference refid="a524838">
                  <bold>
                    <ital>paragraph 3</ital>
                  </bold>
                </internal.reference>
                <bold>)</bold>
              </paratext>
            </para>
          </clause>
          <clause id="a919982" numbering="none">
            <para>
              <paratext>
                <bold>4. HOW WE USE YOUR PERSONAL DATA (</bold>
                <internal.reference refid="a179246">
                  <bold>
                    <ital>paragraph 4</ital>
                  </bold>
                </internal.reference>
                <bold>)</bold>
              </paratext>
            </para>
          </clause>
          <clause id="a469725" numbering="none">
            <para>
              <paratext>
                <bold>5. DISCLOSURES OF YOUR PERSONAL DATA (</bold>
                <internal.reference refid="a239061">
                  <bold>
                    <ital>paragraph 5</ital>
                  </bold>
                </internal.reference>
                <bold>) </bold>
              </paratext>
            </para>
          </clause>
          <clause id="a798662" numbering="none">
            <para>
              <paratext>
                <bold>6. INTERNATIONAL TRANSFERS (</bold>
                <internal.reference refid="a888527">
                  <bold>
                    <ital>paragraph 6</ital>
                  </bold>
                </internal.reference>
                <bold>) </bold>
              </paratext>
            </para>
          </clause>
          <clause id="a496559" numbering="none">
            <para>
              <paratext>
                <bold>7. DATA SECURITY (</bold>
                <internal.reference refid="a424553">
                  <bold>
                    <ital>paragraph 7</ital>
                  </bold>
                </internal.reference>
                <bold>)</bold>
              </paratext>
            </para>
          </clause>
          <clause id="a915856" numbering="none">
            <para>
              <paratext>
                <bold>8. DATA RETENTION (</bold>
                <internal.reference refid="a852989">
                  <bold>
                    <ital>paragraph 8</ital>
                  </bold>
                </internal.reference>
                <bold>)</bold>
              </paratext>
            </para>
          </clause>
          <clause id="a700940" numbering="none">
            <para>
              <paratext>
                <bold>9. YOUR LEGAL RIGHTS (</bold>
                <internal.reference refid="a152621">
                  <bold>
                    <ital>paragraph 9</ital>
                  </bold>
                </internal.reference>
                <bold>)</bold>
              </paratext>
            </para>
          </clause>
          <clause id="a292340" numbering="none">
            <para>
              <paratext>
                <bold>10. CONTACT DETAILS (</bold>
                <internal.reference refid="a682882">
                  <bold>
                    <ital>paragraph 10</ital>
                  </bold>
                </internal.reference>
                <bold>
                  <ital>)</ital>
                </bold>
              </paratext>
            </para>
          </clause>
          <clause id="a113757" numbering="none">
            <para>
              <paratext>
                <bold>
                  <ital>11. COMPLAINTS (</ital>
                </bold>
                <internal.reference refid="a194718">
                  <bold>
                    <ital>paragraph 11</ital>
                  </bold>
                </internal.reference>
                <bold>)</bold>
              </paratext>
            </para>
          </clause>
          <clause id="a341330" numbering="none">
            <para>
              <paratext>
                <bold>
                  <ital>12. CHANGES TO THE PRIVACY POLICY AND YOUR DUTY TO INFORM US OF CHANGES (</ital>
                </bold>
                <internal.reference refid="a475634">
                  <bold>
                    <ital>paragraph 12</ital>
                  </bold>
                </internal.reference>
                <bold>)</bold>
              </paratext>
            </para>
          </clause>
          <clause id="a876412" numbering="none">
            <para>
              <paratext>
                <bold>
                  <ital>13. THIRD PARTY LINKS (</ital>
                </bold>
                <internal.reference refid="a493778">
                  <bold>
                    <ital>paragraph 13</ital>
                  </bold>
                </internal.reference>
                <bold>)</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6" level="1">
                <para>
                  <paratext>The first section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is the controller of the data. Organisations must ensure the privacy policy includes their full legal name and contact information as the controller of the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(UK and EU)</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(UK)</ital>
                      </link>
                      .
                    </paratext>
                  </para>
                </division>
                <division id="a925719" level="2">
                  <head align="left" preservecase="true">
                    <headtext>Changes to this privacy policy</headtext>
                  </head>
                  <para>
                    <paratext>The EDPB Transparency Guidelines state that controllers should adhere to the same principles when communicating the initial privacy policy and any subsequent material changes. This means ensuring that all material changes are communicated in a specific, targeted, obvious way. Although the EDPB has given some guidance on what it considers to be material and non-material, it appears that only changes like mis-spellings or grammatical errors would be considered non-material, so technically all other changes would need to be notified to the data subject. The EDPB has specified certain changes which must always be notified: change in processing purpose, change in identity of controller or change in how data subjects can exercise their rights.</paratext>
                  </para>
                  <para>
                    <paratext>It is not enough, in the EDPB's view, for a business to require an individual to regularly check a privacy policy for any changes or updates.</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The EDPB has given examples of how these changes could be communicated: email, hard copy or a pop-up on a webpage.</paratext>
                  </para>
                </division>
              </division>
            </drafting.note>
          </clause>
          <clause id="a644190" numbering="none">
            <para>
              <paratext>
                <bold>Privacy policy</bold>
              </paratext>
            </para>
          </clause>
          <clause id="a769702" numbering="none">
            <para>
              <paratext>
                This privacy policy gives you information about how [ORGANISATION] collects and uses your personal data through your use of this website, including any data you may provide when you [register with us 
                <bold>OR</bold>
                 sign up to our newsletter 
                <bold>OR</bold>
                 purchase a product or service 
                <bold>OR</bold>
                 take part in a competition 
                <bold>OR</bold>
                 [OTHER EXAMPLE]].
              </paratext>
            </para>
            <drafting.note id="a910155" jurisdiction="">
              <head align="left" preservecase="true">
                <headtext>Children's data</headtext>
              </head>
              <division id="a000007"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924333">
                      <ital>Drafting note, Children's personal data</ital>
                    </internal.reference>
                     and 
                    <link href="w-039-8568" style="ACTLinkPLCtoPLC">
                      <ital>Practice note, Drafting child-friendly privacy notices (UK)</ital>
                    </link>
                    .
                  </paratext>
                </para>
              </division>
            </drafting.note>
          </clause>
          <clause id="a271689" numbering="none">
            <para>
              <paratext>This website is not intended for children and we do not knowingly collect data relating to children.</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[GROUP NAME] (Group) is made up of different legal entities, details of which can be found here: [LINK]. This privacy policy is issued on behalf of the Group so when we mention ["COMPANY"], "we", "us" or "our" in this privacy policy, we are referring to the relevant company in the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who is responsible for overseeing questions in relation to this privacy policy.] If you have any questions about this privacy policy, including any requests to exercise your legal rights (
                <internal.reference refid="a152621">
                  <ital>paragraph 9</ital>
                </internal.reference>
                <ital>)</ital>
                , please contact the [DPO 
                <bold>OR</bold>
                 us] using the information set out in the contact details section (
                <internal.reference refid="a682882">
                  <ital>paragraph 10</ital>
                </internal.reference>
                ).
              </paratext>
            </para>
          </clause>
          <clause id="a480831">
            <identifier>2.</identifier>
            <head align="left" preservecase="true">
              <headtext>The types of personal data we collect about you</headtext>
            </head>
            <drafting.note id="a401620" jurisdiction="">
              <head align="left" preservecase="true">
                <headtext>The data we collect about you</headtext>
              </head>
              <division id="a000008" level="1">
                <para>
                  <paratext>
                    The 
                    <link href="w-027-1020" style="ACTLinkPLCtoPLC">
                      <ital>UK GDPR</ital>
                    </link>
                     defines personal data as "any information relating to an identified or identifiable natural person (data subject)" (
                    <ital>Article 4(1)</ital>
                    ). The customer of the business is the data subject in relation to this privacy policy.
                  </paratext>
                </para>
                <para>
                  <paratext>
                    Organisations should include a broad definition of personal data in their privacy policies (though it is important to only specify data you will actually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certain specified purposes. For more information, see 
                    <link href="w-029-2305" style="ACTLinkPLCtoPLC">
                      <ital>Practice note, Anonymisation and pseudonymisation under UK GDPR and DPA 2018</ital>
                    </link>
                    .
                  </paratext>
                </para>
                <para>
                  <paratext>
                    The starting point for this section of the privacy policy is for organisations to create categories or buckets of personal data and state exactly what each bucket contains. 
                    <bold>The categories of data included in this privacy policy provide examples only and are not intended to be an exhaustive list of all the categories of personal data that an organisation may collect. Organisations must therefore tailor the categories of personal data listed to reflect their actual data collection practices (based on the results of their data protection audit). The ultimate goal is to map those categories of data with the appropriate description of the purpose for processing the data and then with the relevant lawful processing ground.</bold>
                  </paratext>
                </para>
              </division>
            </drafting.note>
          </clause>
          <clause id="a738838" numbering="none">
            <para>
              <paratext>Personal data means any information about an individual from which that person can be identified.</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last name, any previous names,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device ID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interact with and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a
                <defn.term>ggregated data</defn.term>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
              </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9" level="1">
                <para>
                  <paratext>This section should disclose how the website collects data from or about its users. The privacy policy should also include details of any personal data collected from third parties.</paratext>
                </para>
                <para>
                  <paratext>Website visitors will be aware of some obvious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separate cookie policy on the website. See 
                    <link href="w-019-8333" style="ACTLinkPLCtoPLC">
                      <ital>Standard document, Cookie policy (UK)</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
                      <ital>Drafting note, Provision of information to data subjects</ital>
                    </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EDPB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EDPB guidelines state that the "specific" source should be provided "unless it is not possible to do so". They further clarify that businesses cannot choose not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disclose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Your interactions with us.</bold>
                     You may give us your personal data by filling in online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item>
                <para>
                  <paratext>Technical Data is collected from the following parties:</paratext>
                </para>
                <list type="bulleted">
                  <list.item>
                    <para>
                      <paratext>analytics providers [such as Google based outside the UK];</paratext>
                    </para>
                  </list.item>
                  <list.item>
                    <para>
                      <paratext>
                        advertising networks [such as [NAME] based [inside 
                        <bold>OR</bold>
                         outside] the UK]; and
                      </paratext>
                    </para>
                  </list.item>
                  <list.item>
                    <para>
                      <paratext>
                        search information providers [such as [NAME] based [inside 
                        <bold>OR</bold>
                         outside] the UK].
                      </paratext>
                    </para>
                  </list.item>
                </list>
              </list.item>
              <list.item>
                <para>
                  <paratext>
                    Contact, Financial and Transaction Data is collected from providers of technical, payment and delivery services [such as [NAME] based [inside 
                    <bold>OR</bold>
                     outside] the UK].
                  </paratext>
                </para>
              </list.item>
              <list.item>
                <para>
                  <paratext>
                    Identity and Contact Data is collected from data brokers or aggregators [such as [NAME] based [inside 
                    <bold>OR</bold>
                     outside] the UK].
                  </paratext>
                </para>
              </list.item>
              <list.item>
                <para>
                  <paratext>Identity and Contact Data is collected from publicly available sources [such as Companies House and the Electoral Register based inside the UK].</paratext>
                </para>
              </list.item>
              <list.item>
                <para>
                  <paratext>[ANY OTHER WAYS YOU COLLECT PERSONAL DATA].</paratext>
                </para>
              </list.item>
            </list>
          </clause>
          <clause id="a179246">
            <identifier>4.</identifier>
            <head align="left" preservecase="true">
              <headtext>How we use your personal data</headtext>
            </head>
            <drafting.note id="a628560" jurisdiction="">
              <head align="left" preservecase="true">
                <headtext>How we use your personal data</headtext>
              </head>
              <division id="a000010" level="1">
                <para>
                  <paratext>The privacy policy should disclose how an organisation plans to use the personal data it collects by describing the specific use purposes, such as order fulfilment, billing, delivery and direct marketing. This is the most important section of the privacy policy in terms of compliance with the transparency obligations in Articles 13 and 14 of the UK GDPR. Businesses should also clearly identify any non-obvious personal data uses, for example, data used for profiling, automated decision-making and direct marketing purposes.</paratext>
                </para>
                <para>
                  <paratext>
                    <bold>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  </bold>
                  </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422270"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division>
                <division id="a671417" level="2">
                  <head align="left" preservecase="true">
                    <headtext>Consent</headtext>
                  </head>
                  <para>
                    <paratext>
                      In most cases, online businesses will not need consent to process personal information other than for processing special categories of data (see 
                      <link anchor="a472063" href="w-013-3757" style="ACTLinkPLCtoPLC">
                        <ital>Practice note, Overview of UK GDPR: Special categories of personal data</ital>
                      </link>
                      <ital>)</ital>
                       or for electronic direct marketing (via email and text message), particularly where the marketing relates to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451224" href="w-013-3757" style="ACTLinkPLCtoPLC">
                        <ital>Practice notes, Overview of UK GDPR: Consent rules</ital>
                      </link>
                       and 
                      <link href="w-014-7952" style="ACTLinkPLCtoPLC">
                        <ital>Consent under the UK GDPR</ital>
                      </link>
                      <ital>. </ital>
                    </paratext>
                  </para>
                </division>
                <division id="a556441" level="2">
                  <head align="left" preservecase="true">
                    <headtext>Compliance with a legal obligation</headtext>
                  </head>
                  <para>
                    <paratext>
                      Article 6(3) of the UK GDPR requires that the legal obligation must be laid down in UK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qualifies as a legal obligation providing 'there is a statutory basis underpinning the regulatory regime and which requires regulated organisations to comply' (see 
                      <link href="https://ico.org.uk/for-organisations/uk-gdpr-guidance-and-resources/" style="ACTLinkURL">
                        <ital>ICO: UK GDPR guidance and resources</ital>
                      </link>
                       at 
                      <link href="https://ico.org.uk/for-organisations/uk-gdpr-guidance-and-resources/lawful-basis/a-guide-to-lawful-basis/legal-obligation/" style="ACTLinkURL">
                        <ital>Lawful basis for processing, Legal obligation</ital>
                      </link>
                      ).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w-007-0585" style="ACTLinkPLCtoPLC">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 for example in the public sector.</paratext>
                  </para>
                </division>
                <division id="a868752" level="2">
                  <head align="left" preservecase="true">
                    <headtext>Matching purposes and categories of personal data with lawful basis</headtext>
                  </head>
                  <para>
                    <paratext>
                      The EDPB Transparency Guidelines state that privacy policies should match 
                      <bold>each</bold>
                      <bold>individual processing activity with a lawful basis</bold>
                      . In particular, the Guidelines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This strict approach in the EDPB Transparency Guidelines has been followed by enforcement decisions of the data protection regulators in Ireland and the UK.</paratext>
                  </para>
                  <para>
                    <paratext>Following the ICO's enforcement action against Tik Tok (and the Irish DPC's decision concerning WhatsApp), it is clear that the regulators expect greater clarity and detail about the applicable legal bases (and related processing activities) to be specified in the privacy policy than is typically found in most current website privacy policies.</paratext>
                  </para>
                  <para>
                    <paratext>In these cases, the ICO and the Irish DPC/EDPB stated that privacy policies must demonstrate a 'clear link' between a specified category or categories of personal data to the purposes of the specified processing operation / set of operations and to the legal basis being relied upon to support that particular processing operation / set of operations.</paratext>
                  </para>
                  <para>
                    <paratext>The individual reading the privacy policy must be able to clearly identify the legal basis relied on for each individual processing operation. It will not therefore be sufficient to simply list all the legal bases being relied on by the controller in a separate, standalone section without having a clear link to the relevant categories of personal data and the specific processing activities in each case. The Irish DPC held that if a controller states that there could be multiple legal bases for undertaking a particular processing activity, the privacy policy must be sufficiently granular to allow the individual to identify when a particular legal basis will be relied on.   Controllers must also take care not to present conflicting information to the user concerning which legal basis is being relied upon in relation to the processing of certain categories of data.</paratext>
                  </para>
                  <para>
                    <paratext>Many businesses may find this onerous and difficult to comply with, especially where the data processing is complex, involving several processing activities and parties. Individuals may also find this level of detail too complex and unhelpful. Nevertheless, the table in section 4 of the privacy policy is a good starting point to enable controllers to provide the level of specificity required, however further information will need to be included in the table to ensure full compliance with the matching requirement discussed in this section.</paratext>
                  </para>
                  <para>
                    <paratext>Having created the categories or buckets of personal data and stated exactly what each bucket contains, controllers should then map those buckets within the table against the relevant lawful processing ground or grounds, together with an explanation of the purpose(s) for processing such data. The description of the legal basis should be expanded upon where necessary to link to the specific categories of data in the middle column and examples could be used in the third column to show this. Where there is more than one legal basis being relied on for a particular processing activity, the individual must be able to easily identify how each legal basis is being relied upon to support the particular processing operation.</paratext>
                  </para>
                  <para>
                    <paratext>
                      Although the 
                      <link href="w-027-1020" style="ACTLinkPLCtoPLC">
                        <ital>UK GDPR</ital>
                      </link>
                       and ICO guidance indicate that more than one lawful basis can be relied on to process data, businesses must identify the specific legal basis being relied on and cannot rely on either one basis applying or another if one of those bases is consent. For example, if a business collects consent to fulfil an order, it cannot automatically rely on performance of contract for the same activity when a data subject withdraws consent to the use of their data for that purpose.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Finally, businesses may wish to add additional columns in the table to identify individual sources or recipients.</paratext>
                  </para>
                  <para>
                    <paratext>
                      For more information on lawful basis under the UK GDPR, see 
                      <link anchor="a422270" href="w-013-3757" style="ACTLinkPLCtoPLC">
                        <ital>Practice note, 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paratext>
                  </para>
                  <para>
                    <paratext>
                      A short-form privacy notice, giving details of the proposed marketing, and any third parties the data is shared with, should be provided at the time data is collected from an individual for marketing purposes (see 
                      <link anchor="a908622" href="w-013-3757" style="ACTLinkPLCtoPLC">
                        <ital>Practice note, Overview of UK GDPR: First data protection principle: lawfulness, fairness and transparency</ital>
                      </link>
                       and 
                      <link href="w-014-8428" style="ACTLinkPLCtoPLC">
                        <ital>Standard document, Short form online privacy notice (UK)</ital>
                      </link>
                      ). This will typically take the form of a statement describing the nature and intended method(s) of directing marketing with an opt-in box at the end of it (in circumstances where the controller is relying on consent as the lawful basis in Article 6 of the UK GDPR for the direct marketing) or an opt-out box (if relying on legitimate interests). See also 
                      <link href="w-014-8218" style="ACTLinkPLCtoPLC">
                        <ital>Standard clauses, Consents to receive unsolicited direct marketing communications (UK GDPR, DPA 2018 and PECR)</ital>
                      </link>
                      .
                    </paratext>
                  </para>
                  <para>
                    <paratext>
                      This privacy policy refers (at 
                      <internal.reference refid="a602347">
                        <ital>DIRECT MARKETING</ital>
                      </internal.reference>
                      ) to this prior data collection point by referencing the fact that the individual will have been asked at that data capture point (e.g. on registration) to indicate their preferences for receiving direct marketing communications from the controller via the relevant stated channels (email, telephone, post etc).
                    </paratext>
                  </para>
                  <para>
                    <paratext>
                      This privacy policy also envisages that the legitimate interests lawful basis may be relied on with respect to carrying out direct marketing activities (see 
                      <link anchor="a451196" href="w-013-3757" style="ACTLinkPLCtoPLC">
                        <ital>Practice note, Overview of UK GDPR: Legitimate interests condition</ital>
                      </link>
                       and 
                      <link href="w-037-4611" style="ACTLinkPLCtoPLC">
                        <ital>Checklist, Data protection legitimate interests assessment (UK): checklist</ital>
                      </link>
                      ). Recital 47 to the UK GDPR acknowledges that direct marketing can be conducted on the basis of legitimate interests (see 
                      <link anchor="a126867" href="w-013-3757" style="ACTLinkPLCtoPLC">
                        <ital>Practice note, Overview of UK GDPR: Direct marketing and E-Privacy Directive: consent under PECR</ital>
                      </link>
                      ). Direct marketing by telephone and post in particular can generally be carried out on the basis of legitimate interests. However, legitimate interests has its limitations and, in the case of email and text marketing, unless the soft opt-in exemption in PECR applies to allow the controller to carry out email and text marketing lawfully under PECR without consent (and therefore on the basis of legitimate interests in the UK GDPR) consent will also be needed under PECR for conducting such electronic marketing (and consent must therefore be the corresponding lawful basis for this direct marketing activity under the UK GDPR). Prior consent will also be required before data can be passed to third parties for their direct marketing purposes (this consent requirement in PECR only applies to email, text and other forms of electronic marketing).
                    </paratext>
                  </para>
                  <para>
                    <paratext>For more information see:</paratext>
                  </para>
                  <list type="bulleted">
                    <list.item>
                      <para>
                        <paratext>
                          <link href="w-037-596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href="w-014-7952" style="ACTLinkPLCtoPLC">
                            <ital>Practice note, Consent under the UK GDPR</ital>
                          </link>
                          .
                        </paratext>
                      </para>
                    </list.item>
                    <list.item>
                      <para>
                        <paratext>
                          <link href="w-014-8218" style="ACTLinkPLCtoPLC">
                            <ital>Standard clauses, Consents to receive unsolicited direct marketing communications (UK GDPR, DPA 2018 and PECR)</ital>
                          </link>
                          .
                        </paratext>
                      </para>
                    </list.item>
                    <list.item>
                      <para>
                        <paratext>
                          <link href="w-037-4611" style="ACTLinkPLCtoPLC">
                            <ital>Checklist, Data protection legitimate interests assessment (UK): checklist</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
                        <ital>Drafting note, Automated decision-making and profiling</ital>
                      </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were under review in the EU's draft ePR, which was not finalised by 25 May 2018 to coincide with the GDPR (see 
                      <link href="w-007-8182" style="ACTLinkPLCtoPLC">
                        <ital>E-Privacy Regulation Legislation tracker</ital>
                      </link>
                      ). The European Work Programme for 2025 lists that it intends to withdraw the proposed e-Privacy Regulation (see 
                      <link href="w-045-8243" style="ACTLinkPLCtoPLC">
                        <ital>Legal updates, European Commission Adopts 2025 Work Programme</ital>
                      </link>
                       and 
                      <link href="w-045-8256" style="ACTLinkPLCtoPLC">
                        <ital>European Commission 2025 Work Programme: data protection aspects</ital>
                      </link>
                      ).
                    </paratext>
                  </para>
                  <para>
                    <paratext>
                      In any event, every website should provide a link to a cookie policy and the privacy policy should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item>
                      <para>
                        <paratext>Allowing individuals to exercise their right to object to the profiling (where the profiling is carried out by the controller on the basis of the legitimate interests lawful basis).</paratext>
                      </para>
                    </list.item>
                  </list>
                  <para>
                    <paratext>
                      This privacy policy does 
                      <bold>not include any reference to processing data as a result of automated decision-making or profiling other than profiling carried out as part of targeted marketing of a company's own products or services to its own customers.</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drafting.note>
          </clause>
          <clause id="a964261" numbering="none">
            <head align="left" preservecase="true">
              <headtext>Legal basis</headtext>
            </head>
          </clause>
          <clause id="a573645" numbering="none">
            <para>
              <paratext>The law requires us to have a legal basis for collecting and using your personal data. We rely on one or more of the following legal bases:</paratext>
            </para>
            <list type="bulleted">
              <list.item>
                <para>
                  <paratext>
                    <bold>Performance of a contract with you:</bold>
                     Where we need to perform the contract we are about to enter into or have entered into with you.
                  </paratext>
                </para>
              </list.item>
              <list.item>
                <para>
                  <paratext>
                    <bold>Legitimate interests: </bold>
                    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
                  </paratext>
                </para>
              </list.item>
              <list.item>
                <para>
                  <paratext>
                    <bold>Legal obligation: </bold>
                    We may use your personal data where it is necessary for compliance with a legal obligation that we are subject to. We will identify the relevant legal obligation when we rely on this legal basis.
                  </paratext>
                </para>
              </list.item>
              <list.item>
                <para>
                  <paratext>
                    <bold>Consent: </bold>
                    We rely on consent only where we have obtained your active agreement to use your personal data for a specified purpose, for example if you subscribe to an email newsletter.
                  </paratext>
                </para>
              </list.item>
            </list>
          </clause>
          <clause id="a705127" numbering="none">
            <head align="left" preservecase="true">
              <headtext>Purposes for which we will use your personal data</headtext>
            </head>
          </clause>
          <clause id="a590771" numbering="none">
            <para>
              <paratext>We have set out below, in a table format, a description of all the ways we plan to use the various categories of your personal data, and which of the legal bases we rely on to do so. We have also identified what our legitimate interests are where appropriate.</paratext>
            </para>
          </clause>
          <clause id="a638713" numbering="none">
            <para>
              <paratext>[AMEND, DELETE OR ADD TO THIS TABLE AS APPROPRIATE]</paratext>
            </para>
            <para>
              <paratext>
                <table frame="all" pgwide="1">
                  <tgroup cols="3">
                    <colspec colname="1" colnum="1" colwidth="33"/>
                    <colspec colname="2" colnum="2" colwidth="25"/>
                    <colspec colname="3" colnum="3" colwidth="40"/>
                    <tbody>
                      <row>
                        <entry valign="top">
                          <para align="left">
                            <paratext>
                              <bold>Purpose/Use</bold>
                            </paratext>
                          </para>
                        </entry>
                        <entry valign="top">
                          <para align="left">
                            <paratext>
                              <bold>Type of data</bold>
                            </paratext>
                          </para>
                        </entry>
                        <entry valign="top">
                          <para align="left">
                            <paratext>
                              <bold>Legal basis [and retention period]</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manage our relationship with you which will include:</paratext>
                          </para>
                          <para align="left">
                            <paratext>(a) Notifying you about changes to our terms or privacy policy</paratext>
                          </para>
                          <para align="left">
                            <paratext>(b) Dealing with your requests, complaints and queries</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manage our relationship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deliver relevant website content and online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use data analytics to improve our website, products/services, customer relationships and experiences and to measure the effectiveness of our communications and marketing</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send you relevant marketing communications and make personalised suggestions and recommendations to you about goods or services that may be of interest to you based on your Profile Data</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
                              Necessary for our legitimate interests (to carry out direct marketing, develop our products/services and grow our business) 
                              <bold>OR</bold>
                               Consent, having obtained your prior consent to receiving direct marketing communications
                            </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carry out market research through your voluntary participation in surveys</paratext>
                          </para>
                        </entry>
                        <entry valign="top">
                          <para>
                            <paratext/>
                          </para>
                        </entry>
                        <entry valign="top">
                          <para align="left">
                            <paratext>Necessary for our legitimate interests (to study how customers use our products/services and to help us improve and develop our products and services).</paratext>
                          </para>
                          <para align="left">
                            <paratext>[EXPAND ON THE ABOVE AND LINK LEGAL BASIS TO THE SPECIFIC PROCESSING ACTIVITY, USING EXAMPLES WHERE NECESSARY]</paratext>
                          </para>
                          <para align="left">
                            <paratext>[We will retain this data for [state retention period]]</paratext>
                          </para>
                        </entry>
                      </row>
                    </tbody>
                  </tgroup>
                </table>
              </paratext>
            </para>
          </clause>
          <clause id="a602347" numbering="none">
            <head align="left" preservecase="true">
              <headtext>Direct marketing</headtext>
            </head>
          </clause>
          <clause id="a724870" numbering="none">
            <para>
              <paratext>
                During the [registration] process on our website when your personal data is collected, you will be asked to indicate your preferences for receiving direct marketing communications from [ORGANISATION] via [EMAIL, SMS, TELEPHONE, POST] 
                <bold>OR</bold>
                 You will receive marketing communications from us if you have requested information from us or purchased goods or services from us and you have not opted out of receiving the marketing.
              </paratext>
            </para>
          </clause>
          <clause id="a295679" numbering="none">
            <para>
              <paratext>We may also analyse your Identity, Contact, Technical, Usage and Profile Data to form a view which products, services and offers may be of interest to you so that we can then send you relevant marketing communications.</paratext>
            </para>
          </clause>
          <clause id="a539561" numbering="none">
            <head align="left" preservecase="true">
              <headtext>Third-party marketing</headtext>
            </head>
            <para>
              <paratext>We will get your express consent before we share your personal data with any third party for their own direct marketing purposes.</paratext>
            </para>
          </clause>
          <clause id="a879432" numbering="none">
            <head align="left" preservecase="true">
              <headtext>Opting out of marketing</headtext>
            </head>
          </clause>
          <clause id="a603355" numbering="none">
            <para>
              <paratext>
                You can ask to stop sending you marketing communications at any time [by logging into the website and checking or unchecking relevant boxes to adjust your marketing preferences 
                <bold>OR</bold>
                 by following the opt-out links within any marketing communication sent to you or by contacting us [LINK]].
              </paratext>
            </para>
          </clause>
          <clause id="a697118" numbering="none">
            <para>
              <paratext>If you opt out of receiving marketing communications, you will still receive service-related communications that are essential for administrative or customer service purposes [for example relating to [order confirmations for [a product/service warranty registration, appointment reminders, updates to our Terms and Conditions, checking that your contact details are correct].</paratext>
            </para>
          </clause>
          <clause id="a512081" numbering="none">
            <head align="left" preservecase="true">
              <headtext>Cookies</headtext>
            </head>
          </clause>
          <clause condition="optional" id="a591491" numbering="none">
            <para>
              <paratext>For more information about the cookies we use and how to change your cookie preferences, please see [LINK TO YOUR COOKIE POLICY].</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1"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under UK GDPR</ital>
                    </link>
                     and 
                    <link href="w-027-8411" style="ACTLinkPLCtoPLC">
                      <ital>Standard clauses, Data processing clauses (UK)</ital>
                    </link>
                    .
                  </paratext>
                </para>
                <para>
                  <paratext>Article 13(1)(e) of the UK GDPR also requires a privacy policy to disclose all recipients or categories of recipients of the personal data. A recipient does not have to be a third party and can therefore include controllers and other entities within the same group.</paratext>
                </para>
                <para>
                  <paratext>
                    The EDPB Transparency Guidelines recommend that a privacy policy should provide information on the actual (named) recipients of the personal data. If businesses can (and wish to) provide details of named recipients, they may want to insert that detail into the table 
                    <internal.reference refid="a705127">
                      <ital>Purposes for which we will use your personal data</ital>
                    </internal.referen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an organisation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categories of recipients rather than naming them, provided that those categories are adequately explained. In the Tik Tok case, the ICO found that the term business partners was too broad, given that it could encompass a vast range of different recipients and it was unreasonable to assume that a data subject would have had knowledge of all of the various entities with whom TikTok does business. The ICO's view was that, in the circumstances, TikTok was required to provide either all of the named recipients of users' personal data in order to comply with Article 13(1)(e) or at least sufficient detail on the categories of recipients so that data subjects were able to know exactly who held their personal data. Businesses which sell personal data, for example, customer lists to advertisers, should specifically disclose this practice (such data disclosures to the purchaser of the list are likely to require the business to obtain a separate consent from individuals for the disclosure and sale of their data in order for such disclosure to be lawful). The policy should also specifically reserve the right to transfer or disclose personal data in connection with a sale of the business or its assets.</paratext>
                </para>
                <para>
                  <paratext>
                    <internal.reference refid="a239061">
                      <ital>Paragraph 5</ital>
                    </internal.reference>
                     of this privacy policy, broadly identifies (by categories) and describes some of the common recipients of data by website operators. This section must be carefully reviewed and tailored to meet your business operations. In particular, businesses should try to be as specific as possible about the categories of recipients and include the details set out above.
                  </paratext>
                </para>
              </division>
            </drafting.note>
          </clause>
          <clause id="a342752" numbering="none">
            <para>
              <paratext>
                We may share your personal data where necessary with the parties set out below for the purposes set out in the table 
                <internal.reference refid="a705127">
                  <ital>Purposes for which we will use your personal data</ital>
                </internal.reference>
                 above.
              </paratext>
            </para>
            <list type="bulleted">
              <list.item>
                <para>
                  <paratext>Internal Third Parties as set out in the [LINK].</paratext>
                </para>
              </list.item>
              <list.item>
                <para>
                  <paratext>External Third Parties as set out in the [LINK].</paratext>
                </para>
              </list.item>
              <list.item>
                <para>
                  <paratext>
                    [Specific third parties [listed in the table 
                    <internal.reference refid="a705127">
                      <ital>Purposes for which we will use your personal data</ital>
                    </internal.reference>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2"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(as a result of the UK government having adopted UK adequacy regulations in respect of that country), or other appropriate safeguards (such as standard contractual clauses) are put in place by the controller. This is to ensure that the level of protection of an individual's personal data afforded by the UK GDPR is not undermined.
                  </paratext>
                </para>
                <para>
                  <paratext>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outside the UK, Article 13(1) (f) of the UK GDPR requires controllers to provide individuals with information about the existence or absence of UK adequacy regulations in respect of the transfer to that third country, and/or any appropriate or suitable safeguards in place for such transfers such as standard contractual clauses or binding corporate rules (and the means by which to obtain a copy of these safeguards or details of where they have been made available). Further, in the context of subject access requests, the individual making the request has the right to be informed of the appropriate safeguards in place (
                    <ital>Article 15(2)</ital>
                    ).
                  </paratext>
                </para>
                <para>
                  <paratext>The EDPB Transparency Guidelines suggest that, under the EU GDPR, names of individual countries outside the EEA where data is transferred should generally be set out in the privacy policy. This is quite an onerous requirement to comply with given that the countries where data is transferred may regularly change as a result of changes in vendors or organisational changes within a corporate group However, the ICO has adopted this approach in its decision concerning Tik Tok, stating that "in order for the information provided on transfers under Article 13(1)(f) to be meaningful, third countries to which data is transferred should generally be named".</paratext>
                </para>
                <para>
                  <paratext>It remains to be seen whether this finding was specific to the facts of the Tik Tok case or whether the regulator will update its guidance to require all controllers to name in their privacy policies the relevant overseas countries which will receive personal data transferred from the UK. The ICO considered that "the naming of third countries was necessary and particularly important on the specific facts of TikTok's situation" given that Tik Tok had previously publicly stated that data about its UK users was not being processed in China only to then tell the ICO the contrary during the regulator's initial investigation.</paratext>
                </para>
                <para>
                  <paratext>For more information on international requirements, see:</paratext>
                </para>
                <list type="bulleted">
                  <list.item>
                    <para>
                      <paratext>
                        <link href="w-013-9203" style="ACTLinkPLCtoPLC">
                          <ital>Practice note, Overview of data transfers (UK)</ital>
                        </link>
                        .
                      </paratext>
                    </para>
                  </list.item>
                  <list.item>
                    <para>
                      <paratext>
                        <link href="w-033-2349" style="ACTLinkPLCtoPLC">
                          <ital>Practice note, Transferring personal data outside the UK: FAQs</ital>
                        </link>
                        .
                      </paratext>
                    </para>
                  </list.item>
                  <list.item>
                    <para>
                      <paratext>
                        <link href="w-038-4650" style="ACTLinkPLCtoPLC">
                          <ital>Adequacy regulations tracker (UK and EU)</ital>
                        </link>
                        .
                      </paratext>
                    </para>
                  </list.item>
                  <list.item>
                    <para>
                      <paratext>
                        <link href="w-038-6137" style="ACTLinkPLCtoPLC">
                          <ital>Data transfer agreements and SCCs tracker (UK and EU)</ital>
                        </link>
                        .
                      </paratext>
                    </para>
                  </list.item>
                </list>
                <para>
                  <paratext>If a controller is relying on the ICO's IDTA or Addendum as its transfer mechanism for transferring website users' personal data to a country outside the UK, then it must specify in the privacy policy which of these contractual mechanisms it is relying on and also inform individuals how they can obtain a copy of the relevant standard data protection clauses (Article 13(1)(f)).</paratext>
                </para>
                <para>
                  <paratext>The privacy policy also allows the controller to include information about any other valid transfer mechanism under the UK GDPR that it wishes to rely on such as an approved code of conduct or certification scheme, although the ICO has not yet approved any such mechanisms.</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WITHIN A CORPORATE GROUP:] We share your personal data within the [ORGANISATION] Group. This will involve transferring your data outside the UK to our overseas offices in [INSERT NAMES OF COUNTRIES].]</paratext>
            </para>
          </clause>
          <clause id="a679411" numbering="none">
            <para>
              <paratext>Whenever we transfer your personal data out of the UK to countries which have laws that do not provide the same level of data protection as the UK law, we always ensure that a similar degree of protection is afforded to it by ensuring that the following safeguards are implemented [DELETE AS APPLICABLE]:</paratext>
            </para>
          </clause>
          <clause id="a232622" numbering="none">
            <para>
              <paratext>[IF BINDING CORPORATE RULES ARE USED FOR THE INTRA-GROUP TRANSFERS:] [We ensure your personal data is protected by requiring all our group companies to follow the same set of rules when processing your personal data. These rules are called "binding corporate rules" (BCR). To view our BCR, please contact us at [INSERT CONTACT EMAIL OR LINK TO CONTACT DETAILS].</paratext>
            </para>
          </clause>
          <clause id="a364214" numbering="none">
            <para>
              <paratext>[IF STANDARD CONTRACTUAL CLAUSES ARE USED FOR THE INTRA-GROUP TRANSFERS:]</paratext>
            </para>
          </clause>
          <clause id="a504133" numbering="none">
            <para>
              <paratext>[We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paratext>
            </para>
          </clause>
          <clause id="a342043" numbering="none">
            <para>
              <paratext>[IF PERSONAL DATA IS TRANSFERRED OUTSIDE THE UK TO SERVICE PROVIDERS]:</paratext>
            </para>
          </clause>
          <clause id="a291851" numbering="none">
            <para>
              <paratext>[We may transfer your personal data to service providers that carry out certain functions on our behalf. This may involve transferring personal data outside the UK to countries which have laws that do not provide the same level of data protection as the UK law.</paratext>
            </para>
          </clause>
          <clause id="a191241" numbering="none">
            <para>
              <paratext>Whenever we transfer your personal data out of the UK to service providers, we ensure a similar degree of protection is afforded to it by ensuring that the following safeguards are in place [DELETE AS APPLICABLE]:</paratext>
            </para>
            <list type="bulleted">
              <list.item>
                <para>
                  <paratext>We will only transfer your personal data to countries that have been deemed by the UK to provide an adequate level of protection for personal data, namely, [INSERT NAMES OF COUNTRIES AND RELEVANT ADEQUACY REGULATIONS]. OR</paratext>
                </para>
              </list.item>
              <list.item>
                <para>
                  <paratext>
                    We may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 (
                    <internal.reference refid="a682882">
                      <ital>paragraph 10</ital>
                    </internal.reference>
                    ).  For further details, see [ ].] 
                    <bold>OR</bold>
                  </paratext>
                </para>
              </list.item>
              <list.item>
                <para>
                  <paratext>[INSERT DETAILS OF ANY OTHER TRANSFER MECHANISMS, E.G. A BESPOKE CONTRACT AUTHORISED BY THE ICO OR AN APPROVED CODE OF CONDUCT OR CERTIFICATION SCHEME AND INSERT DETAILS OF HOW TO OBTAIN A COPY OF THE MECHANISM].</paratext>
                </para>
              </list.item>
            </list>
          </clause>
          <clause id="a424553">
            <identifier>7.</identifier>
            <head align="left" preservecase="true">
              <headtext>Data security</headtext>
            </head>
            <drafting.note id="a156589" jurisdiction="">
              <head align="left" preservecase="true">
                <headtext>Data security</headtext>
              </head>
              <division id="a000013"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476869"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13-5138" style="ACTLinkPLCtoPLC">
                        <ital>Practice note, Data security under the UK GDPR and DPA 2018</ital>
                      </link>
                      . There is no express transparency obligation in the UK GDPR that requires organisations to notify individuals of the types of data security measures that have been put in place by the organisation to protect their personal data. However, it is best practice to include a high-level summary in your privacy policy of some of the measures your organisation has taken to protect individuals’ data from unauthorised access and cyber security breaches and there is some value in doing so, particularly in a consumer-facing context where consumers may have particular concerns regarding the protection of their data from internal and external threats.
                    </paratext>
                  </para>
                </division>
              </division>
            </drafting.note>
          </clause>
          <clause id="a123273"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924764"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4"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EDPB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 and indeed most UK businesses do not currently comply fully with the Article 13(2)(a) requirements in their website privacy policies.</paratext>
                </para>
                <para>
                  <paratext>
                    If organisations have managed to determine specific retention periods, they should insert the appropriate retention period per activity/data set in the table set out in 
                    <internal.reference refid="a705127">
                      <ital>Purposes for which we will use your personal data</ital>
                    </internal.reference>
                     above and we have provided for this in section 8 of the privacy policy (
                    <internal.reference refid="a852989">
                      <ital>paragraph 8</ital>
                    </internal.reference>
                    ). It is clear from the ICO's enforcement action in the TikTok case that listing the specific retention periods in this way is the most compliant approach.
                  </paratext>
                </para>
                <para>
                  <paratext>Nevertheless, Article 13(2)(a) of the UK GDPR states that if you don't have a specific retention period then you need to tell people the criteria that you use to decide how long you will keep their information. Note that the EDPB Transparency Guidelines indicate that it should be phrased in a way that allows the data subject to assess, on the basis of their own situation, what the retention period will be for specific data or activities. This was confirmed by the ICO in its enforcement action taken against Tik Tok for a breach of Article 13(2)(a). The ICO held that whilst a controller can comply with the Article 13 requirement by providing information about the criteria used to determine the retention periods (as opposed to actually stating the retention periods), these criteria must be ‘meaningful’ in terms of enabling a user to understand how long the controller would hold the individual’s data. In Tik Tok's case, the regulator found that the criteria used by Tik Tok to determine the retention periods across its Privacy Policies were 'broad, general and not meaningful in terms of enabling a user to understand how long TikTok would hold his or her data'. The ICO further cited the EDPB Transparency Guidelines in emphasising that "it is not sufficient for the data controller to generically state that personal data will be kept as long as necessary for the legitimate purposes of the processing".</paratext>
                </para>
                <para>
                  <paratext>Whilst the most compliant approach is to list the specific retention periods for the various categories of personal data, an alternative risk-based approach would be to set out instead the criteria that are used to determine the retention periods and we have provided this option in section 8 of the privacy policy.</paratext>
                </para>
                <para>
                  <paratext>
                    For more information see 
                    <link href="w-014-7851" style="ACTLinkPLCtoPLC">
                      <ital>Practice note, Data retention policies (UK and EU)</ital>
                    </link>
                    , 
                    <link href="w-014-8024" style="ACTLinkPLCtoPLC">
                      <ital>Checklist, Data retention policies (UK and EU): checklist,</ital>
                    </link>
                    <link href="w-014-8509" style="ACTLinkPLCtoPLC">
                      <ital>Standard document, Data retention policy (UK and EU)</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211644" numbering="none">
            <para>
              <paratext>
                [Details of retention periods for different aspects of your personal data are [set out in the table [
                <internal.reference refid="a705127">
                  <ital>Purposes for which we will use your personal data</ital>
                </internal.reference>
                ] above].
              </paratext>
            </para>
          </clause>
          <clause id="a703301" numbering="none">
            <para>
              <paratext>OR</paratext>
            </para>
          </clause>
          <clause id="a863448"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nternal.reference refid="a152621">
                  <ital>paragraph 9</ital>
                </internal.reference>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5" level="1">
                <para>
                  <paratext>
                    For information on data subjects' rights under the 
                    <link href="w-027-1020" style="ACTLinkPLCtoPLC">
                      <ital>UK GDPR</ital>
                    </link>
                    , including the right to be forgotten and the right to data portability, see 
                    <link href="w-024-3178" style="ACTLinkPLCtoPLC">
                      <ital>Practice note, Data subject rights (UK)</ital>
                    </link>
                     and 
                    <link href="w-019-9092" style="ACTLinkPLCtoPLC">
                      <ital>Handling data subject requests toolkit (UK)</ital>
                    </link>
                    .
                  </paratext>
                </para>
              </division>
            </drafting.note>
          </clause>
          <clause id="a905008" numbering="none">
            <para>
              <paratext>You have a number of rights under data protection laws in relation to your personal data.</paratext>
            </para>
          </clause>
          <clause id="a807579" numbering="none">
            <para>
              <paratext>You have the right to:</paratext>
            </para>
            <list type="bulleted">
              <list.item>
                <para>
                  <paratext>Request access to your personal data (commonly known as a "subject access request"). This enables you to receive a copy of the personal data we hold about you and to check that we are lawfully processing it.</paratext>
                </para>
              </list.item>
              <list.item>
                <para>
                  <paratext>Request correction of the personal data that we hold about you. This enables you to have any incomplete or inaccurate data we hold about you corrected, though we may need to verify the accuracy of the new data you provide to us.</paratext>
                </para>
              </list.item>
              <list.item>
                <para>
                  <paratex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paratext>
                </para>
              </list.item>
              <list.item>
                <para>
                  <paratex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paratext>
                </para>
              </list.item>
              <list.item>
                <para>
                  <paratext>
                    You also have the absolute right to object any time to the processing of your personal data for direct marketing purposes (see 
                    <internal.reference refid="a879432">
                      <ital>OPTING OUT OF MARKETING</ital>
                    </internal.reference>
                     in 
                    <internal.reference refid="a179246">
                      <ital>paragraph 4</ital>
                    </internal.reference>
                     for details of how to object to receiving direct marketing communications).
                  </paratext>
                </para>
              </list.item>
              <list.item>
                <para>
                  <paratex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paratext>
                </para>
              </list.item>
              <list.item>
                <para>
                  <paratex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paratext>
                </para>
              </list.item>
              <list.item>
                <para>
                  <paratext>Request restriction of processing of your personal data. This enables you to ask us to suspend the processing of your personal data in one of the following scenarios:</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 or</paratext>
                    </para>
                  </list.item>
                  <list.item>
                    <para>
                      <paratext>You have objected to our use of your data but we need to verify whether we have overriding legitimate grounds to use it.</paratext>
                    </para>
                  </list.item>
                </list>
              </list.item>
            </list>
          </clause>
          <clause id="a694615" numbering="none">
            <para>
              <paratext>
                If you wish to exercise any of the rights set out above, [please contact us [see Contact details (
                <internal.reference refid="a682882">
                  <ital>paragraph 10</ital>
                </internal.reference>
                )]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Contact details</headtext>
            </head>
          </clause>
          <clause id="a679082" numbering="none">
            <para>
              <paratext>
                If you have any questions about this privacy policy or about the use of your personal data or you want to exercise your privacy rights, please contact [our DPO] 
                <bold>OR</bold>
                 [us] in the following ways:
              </paratext>
            </para>
            <list type="bulleted">
              <list.item>
                <para>
                  <paratext>Email address: [DETAILS]</paratext>
                </para>
              </list.item>
              <list.item>
                <para>
                  <paratext>Postal address: [DETAILS]</paratext>
                </para>
              </list.item>
              <list.item>
                <para>
                  <paratext>[Telephone number: [DETAILS]]</paratext>
                </para>
              </list.item>
            </list>
          </clause>
          <clause id="a194718">
            <identifier>11.</identifier>
            <head align="left" preservecase="true">
              <headtext>Complaints</headtext>
            </head>
          </clause>
          <clause id="a396864"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75634">
            <identifier>12.</identifier>
            <head align="left" preservecase="true">
              <headtext>Changes to the privacy policy and your duty to inform us of changes</headtext>
            </head>
          </clause>
          <clause id="a324325" numbering="none">
            <para>
              <paratext>
                We keep our privacy policy under regular review. [This version was last updated on [DATE]. [Historic versions [are archived here: [LINK] 
                <bold>OR</bold>
                 can be obtained by contacting us]].]
              </paratext>
            </para>
          </clause>
          <clause id="a206686" numbering="none">
            <para>
              <paratext>It is important that the personal data we hold about you is accurate and current. Please keep us informed if your personal data changes during your relationship with us, for example a new address or email address.</paratext>
            </para>
          </clause>
          <clause id="a493778">
            <identifier>13.</identifier>
            <head align="left" preservecase="true">
              <headtext>Third-party links</headtext>
            </head>
          </clause>
          <clause id="a165636"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operative>
      </body>
      <rev.history>
        <rev.item>
          <rev.title>Proposed e-Privacy Regulation Withdrawn from 2025 European Commission Work Programme (February 2025)</rev.title>
          <rev.date>20250214</rev.date>
          <rev.author>Practical Law Data Protection</rev.author>
          <rev.body>
            <division id="a000001" level="1">
              <para>
                <paratext>We have updated the section How we use your personal data: Cookies, to reflect the withdrawal of the proposed e-Privacy Regulation from the 2025 European Commission Work Programme.</paratext>
              </para>
            </division>
          </rev.body>
        </rev.item>
        <rev.item>
          <rev.title>Updated resource (September 2024)</rev.title>
          <rev.date>20240923</rev.date>
          <rev.author>Practical Law Data Protection</rev.author>
          <rev.body>
            <division id="a000002" level="1">
              <para>
                <paratext>We have reviewed and updated this resource at the Guidance and Decision section, with details of the ICO privacy notice generator tool.</paratext>
              </para>
            </division>
          </rev.body>
        </rev.item>
        <rev.item>
          <rev.title>Updated resource (January 2024)</rev.title>
          <rev.date>20231101</rev.date>
          <rev.author>Practical Law Data Protection</rev.author>
          <rev.body>
            <division id="a000003" level="1">
              <para>
                <paratext>We have reviewed and updated this resource.</paratext>
              </para>
            </division>
          </rev.body>
        </rev.item>
      </rev.histor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D7D47B61059C4489FB1C1BE4BC96706" ma:contentTypeVersion="15" ma:contentTypeDescription="Create a new document." ma:contentTypeScope="" ma:versionID="0174faec4908b71d11ef23046335301e">
  <xsd:schema xmlns:xsd="http://www.w3.org/2001/XMLSchema" xmlns:xs="http://www.w3.org/2001/XMLSchema" xmlns:p="http://schemas.microsoft.com/office/2006/metadata/properties" xmlns:ns2="da3b65f5-8b25-4398-88a0-5b57f2430f3c" xmlns:ns3="ceb43334-9b79-494a-91f6-6e816d0e3c6c" targetNamespace="http://schemas.microsoft.com/office/2006/metadata/properties" ma:root="true" ma:fieldsID="cd91ae1a81936319b80bbc972dc85c8a" ns2:_="" ns3:_="">
    <xsd:import namespace="da3b65f5-8b25-4398-88a0-5b57f2430f3c"/>
    <xsd:import namespace="ceb43334-9b79-494a-91f6-6e816d0e3c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65f5-8b25-4398-88a0-5b57f2430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5b0e5e-dcc8-4639-a3c0-19e8b5f385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43334-9b79-494a-91f6-6e816d0e3c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fa19bf-1483-4e9d-aa45-34d6327f30d3}" ma:internalName="TaxCatchAll" ma:showField="CatchAllData" ma:web="ceb43334-9b79-494a-91f6-6e816d0e3c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ceb43334-9b79-494a-91f6-6e816d0e3c6c" xsi:nil="true"/>
    <lcf76f155ced4ddcb4097134ff3c332f xmlns="da3b65f5-8b25-4398-88a0-5b57f2430f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FC868-7B26-40DA-A6F3-56A234176530}">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B1483490-6E21-4BAD-B458-BBF6798878A1}">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AEF58DCF-0516-47CA-A4F4-84F736F8BBAB}"/>
</file>

<file path=customXml/itemProps6.xml><?xml version="1.0" encoding="utf-8"?>
<ds:datastoreItem xmlns:ds="http://schemas.openxmlformats.org/officeDocument/2006/customXml" ds:itemID="{CB31C7CD-DFA7-44B7-BD97-46FC9FC8427D}"/>
</file>

<file path=customXml/itemProps7.xml><?xml version="1.0" encoding="utf-8"?>
<ds:datastoreItem xmlns:ds="http://schemas.openxmlformats.org/officeDocument/2006/customXml" ds:itemID="{250AFE61-AD44-411F-A158-712CC149515D}"/>
</file>

<file path=docProps/app.xml><?xml version="1.0" encoding="utf-8"?>
<Properties xmlns="http://schemas.openxmlformats.org/officeDocument/2006/extended-properties" xmlns:vt="http://schemas.openxmlformats.org/officeDocument/2006/docPropsVTypes">
  <Template>Normal</Template>
  <TotalTime>4</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privacy policy (UK)</dc:title>
  <dc:creator>uc217199</dc:creator>
  <cp:lastModifiedBy>Kelly Farrer</cp:lastModifiedBy>
  <cp:revision>7</cp:revision>
  <dcterms:created xsi:type="dcterms:W3CDTF">2025-08-05T11:43:00Z</dcterms:created>
  <dcterms:modified xsi:type="dcterms:W3CDTF">2025-08-05T11:47:00Z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0x0101003D7D47B61059C4489FB1C1BE4BC96706</vt:lpwstr>
  </property>
</Properties>
</file>